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38F8A49D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555E3">
        <w:rPr>
          <w:rFonts w:ascii="Arial" w:hAnsi="Arial" w:cs="Arial"/>
          <w:b/>
          <w:sz w:val="28"/>
          <w:szCs w:val="22"/>
        </w:rPr>
        <w:t xml:space="preserve">April </w:t>
      </w:r>
      <w:r w:rsidR="00AC3D36">
        <w:rPr>
          <w:rFonts w:ascii="Arial" w:hAnsi="Arial" w:cs="Arial"/>
          <w:b/>
          <w:sz w:val="28"/>
          <w:szCs w:val="22"/>
        </w:rPr>
        <w:t>30</w:t>
      </w:r>
      <w:r w:rsidR="003555E3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1EA14251" w14:textId="3DB6F74A" w:rsidR="00012DFF" w:rsidRPr="00012DFF" w:rsidRDefault="00012DFF" w:rsidP="00012DF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bookmarkStart w:id="0" w:name="_Toc69815171"/>
      <w:r w:rsidRPr="00012DF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Collier Road Landfill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(Oakland County)</w:t>
      </w:r>
    </w:p>
    <w:p w14:paraId="2B79E223" w14:textId="435843CA" w:rsidR="00012DFF" w:rsidRPr="00012DFF" w:rsidRDefault="00012DFF" w:rsidP="00012DF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012DFF">
        <w:rPr>
          <w:rFonts w:ascii="Arial" w:hAnsi="Arial" w:cs="Arial"/>
        </w:rPr>
        <w:t xml:space="preserve">Energy, Great Lakes and Energy (EGLE) has not received any responses from residents targeted for sampling.  EGLE will leave door hangers at the 3 addresses later in the quarter.  If the residents respond later, EGLE will sample their wells.  </w:t>
      </w:r>
    </w:p>
    <w:p w14:paraId="5A504019" w14:textId="29E836FB" w:rsidR="00012DFF" w:rsidRPr="00012DFF" w:rsidRDefault="00012DFF" w:rsidP="00012DF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012DF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Delta County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(Delta County)</w:t>
      </w:r>
    </w:p>
    <w:p w14:paraId="53B7D6D2" w14:textId="55093B32" w:rsidR="00012DFF" w:rsidRPr="00012DFF" w:rsidRDefault="00012DFF" w:rsidP="00012DF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 w:rsidRPr="00012DFF">
        <w:rPr>
          <w:rStyle w:val="Heading1Char"/>
          <w:rFonts w:ascii="Arial" w:hAnsi="Arial" w:cs="Arial"/>
          <w:color w:val="auto"/>
          <w:sz w:val="22"/>
          <w:szCs w:val="22"/>
        </w:rPr>
        <w:t>Results received for seven residential wells.  Total of six wells were non detect for PFAS and seventh well had total PFAS at 7 ppt.</w:t>
      </w:r>
    </w:p>
    <w:p w14:paraId="30B4853C" w14:textId="677FF13E" w:rsidR="00012DFF" w:rsidRPr="00012DFF" w:rsidRDefault="00012DFF" w:rsidP="00012DF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012DF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Oakland County International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(Oakland County)</w:t>
      </w:r>
    </w:p>
    <w:p w14:paraId="18681289" w14:textId="5E30CB92" w:rsidR="00012DFF" w:rsidRPr="00012DFF" w:rsidRDefault="00012DFF" w:rsidP="00012DF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color w:val="auto"/>
          <w:sz w:val="22"/>
          <w:szCs w:val="22"/>
        </w:rPr>
      </w:pPr>
      <w:r w:rsidRPr="00012DFF">
        <w:rPr>
          <w:rFonts w:ascii="Arial" w:hAnsi="Arial" w:cs="Arial"/>
        </w:rPr>
        <w:t>EGLE has received only 4 responses out of 24 requests for sampling.   EGLE is delaying the residential well sampling until more responses are received from residents</w:t>
      </w:r>
      <w:r>
        <w:rPr>
          <w:rFonts w:ascii="Arial" w:hAnsi="Arial" w:cs="Arial"/>
        </w:rPr>
        <w:t>.</w:t>
      </w:r>
    </w:p>
    <w:bookmarkEnd w:id="0"/>
    <w:p w14:paraId="5315C61C" w14:textId="6A2148BE" w:rsidR="00012DFF" w:rsidRPr="00012DFF" w:rsidRDefault="00012DFF" w:rsidP="00012DFF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012DFF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(Emmet County)</w:t>
      </w:r>
    </w:p>
    <w:p w14:paraId="055DF31F" w14:textId="7D5F469C" w:rsidR="00012DFF" w:rsidRPr="00012DFF" w:rsidRDefault="00012DFF" w:rsidP="00012DFF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012DFF">
        <w:rPr>
          <w:rFonts w:ascii="Arial" w:hAnsi="Arial" w:cs="Arial"/>
        </w:rPr>
        <w:t xml:space="preserve">Given that all residents who wanted filters </w:t>
      </w:r>
      <w:proofErr w:type="gramStart"/>
      <w:r w:rsidRPr="00012DFF">
        <w:rPr>
          <w:rFonts w:ascii="Arial" w:hAnsi="Arial" w:cs="Arial"/>
        </w:rPr>
        <w:t>have</w:t>
      </w:r>
      <w:proofErr w:type="gramEnd"/>
      <w:r w:rsidRPr="00012DFF">
        <w:rPr>
          <w:rFonts w:ascii="Arial" w:hAnsi="Arial" w:cs="Arial"/>
        </w:rPr>
        <w:t xml:space="preserve"> them installed, bottled water will no longer be distributed. HDNW is working on outreach materials that will address any questions residents may have about this.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03A597CB" w14:textId="10FE9B26" w:rsidR="00012DFF" w:rsidRPr="00012DFF" w:rsidRDefault="00012DFF" w:rsidP="00012D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012DFF">
        <w:rPr>
          <w:rFonts w:ascii="Arial" w:eastAsia="Times New Roman" w:hAnsi="Arial" w:cs="Arial"/>
          <w:lang w:val="en"/>
        </w:rPr>
        <w:t>April 26, 2021 – Grayling Army Airfield Virtual Townhall – EGLE, DHHA, ANG to participate 6:00 PM to 8:00 PM</w:t>
      </w:r>
    </w:p>
    <w:p w14:paraId="02BCE7CB" w14:textId="1292C4FE" w:rsidR="00012DFF" w:rsidRPr="00012DFF" w:rsidRDefault="00012DFF" w:rsidP="00012DF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012DFF">
        <w:rPr>
          <w:rFonts w:ascii="Arial" w:eastAsia="Times New Roman" w:hAnsi="Arial" w:cs="Arial"/>
        </w:rPr>
        <w:t>April 29, 2021:  Forest Waste Superfund Site – EGLE, MDHHS, LHD call with local officials</w:t>
      </w:r>
      <w:r>
        <w:rPr>
          <w:rFonts w:ascii="Arial" w:eastAsia="Times New Roman" w:hAnsi="Arial" w:cs="Arial"/>
        </w:rPr>
        <w:t>.</w:t>
      </w:r>
      <w:r w:rsidRPr="00012DFF">
        <w:rPr>
          <w:rFonts w:ascii="Arial" w:eastAsia="Times New Roman" w:hAnsi="Arial" w:cs="Arial"/>
        </w:rPr>
        <w:t xml:space="preserve"> </w:t>
      </w:r>
    </w:p>
    <w:p w14:paraId="24150E32" w14:textId="77777777" w:rsidR="00012DFF" w:rsidRPr="00012DFF" w:rsidRDefault="00012DFF" w:rsidP="00012DF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012DFF">
        <w:rPr>
          <w:rFonts w:ascii="Arial" w:eastAsia="Times New Roman" w:hAnsi="Arial" w:cs="Arial"/>
        </w:rPr>
        <w:t xml:space="preserve">April 29, 2021 – Former Marquette Airport Call with local officials </w:t>
      </w:r>
    </w:p>
    <w:p w14:paraId="56CE5787" w14:textId="77777777" w:rsidR="00012DFF" w:rsidRPr="00012DFF" w:rsidRDefault="00012DFF" w:rsidP="00012DF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012DFF">
        <w:rPr>
          <w:rFonts w:ascii="Arial" w:eastAsia="Times New Roman" w:hAnsi="Arial" w:cs="Arial"/>
        </w:rPr>
        <w:t>May 10, 2021 - Falk Road virtual town hall.  EGLE, MDHHS, LHD to participate.  6:00 PM to 7:30 PM</w:t>
      </w:r>
    </w:p>
    <w:p w14:paraId="4500ABD6" w14:textId="77777777" w:rsidR="00012DFF" w:rsidRPr="00012DFF" w:rsidRDefault="00012DFF" w:rsidP="00012DF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012DFF">
        <w:rPr>
          <w:rFonts w:ascii="Arial" w:eastAsia="Times New Roman" w:hAnsi="Arial" w:cs="Arial"/>
        </w:rPr>
        <w:t>May 12, 2021 - Southeastern Macomb District Authority Landfill 9/9A virtual town hall.  EGLE, MDHHS, LHD to participate – 6:00 PM to 7:30 PM</w:t>
      </w:r>
    </w:p>
    <w:p w14:paraId="45CD09C2" w14:textId="77777777" w:rsidR="00012DFF" w:rsidRPr="00012DFF" w:rsidRDefault="00012DFF" w:rsidP="00012DF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012DFF">
        <w:rPr>
          <w:rFonts w:ascii="Arial" w:eastAsia="Times New Roman" w:hAnsi="Arial" w:cs="Arial"/>
        </w:rPr>
        <w:t>May 13, 2021 - SOCRRA – Avon Landfill virtual town hall.  EGLE, MDHHS, LHD to participate.  6:00 PM to 7:30 PM</w:t>
      </w:r>
    </w:p>
    <w:p w14:paraId="65FC2939" w14:textId="081208EE" w:rsidR="00012DFF" w:rsidRPr="00012DFF" w:rsidRDefault="00012DFF" w:rsidP="00012DFF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012DFF">
        <w:rPr>
          <w:rFonts w:ascii="Arial" w:eastAsia="Times New Roman" w:hAnsi="Arial" w:cs="Arial"/>
        </w:rPr>
        <w:t>May 25, 2021 - Tribal conversation with Traverse City Band of Ottawa and Chippewa Indians</w:t>
      </w:r>
    </w:p>
    <w:p w14:paraId="46EFAE56" w14:textId="77777777" w:rsidR="003D5C90" w:rsidRPr="001E2550" w:rsidRDefault="003D5C90" w:rsidP="00012DFF">
      <w:pPr>
        <w:spacing w:after="0" w:line="276" w:lineRule="auto"/>
        <w:ind w:left="720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1A2C2405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2DFF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41CE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1E84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55E3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96526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817AB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60D8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36936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3D36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2021-05-11T14:16:00Z</dcterms:created>
  <dcterms:modified xsi:type="dcterms:W3CDTF">2021-05-11T14:16:00Z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2021-03-30T11:27:36Z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