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601F52F5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FD3CDB">
        <w:rPr>
          <w:rFonts w:ascii="Arial" w:hAnsi="Arial" w:cs="Arial"/>
          <w:b/>
          <w:sz w:val="28"/>
          <w:szCs w:val="22"/>
        </w:rPr>
        <w:t xml:space="preserve">December </w:t>
      </w:r>
      <w:r w:rsidR="00EF3A20">
        <w:rPr>
          <w:rFonts w:ascii="Arial" w:hAnsi="Arial" w:cs="Arial"/>
          <w:b/>
          <w:sz w:val="28"/>
          <w:szCs w:val="22"/>
        </w:rPr>
        <w:t>1</w:t>
      </w:r>
      <w:r w:rsidR="00847105">
        <w:rPr>
          <w:rFonts w:ascii="Arial" w:hAnsi="Arial" w:cs="Arial"/>
          <w:b/>
          <w:sz w:val="28"/>
          <w:szCs w:val="22"/>
        </w:rPr>
        <w:t>8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71387F95" w14:textId="2ABC680E" w:rsidR="002C5452" w:rsidRPr="002C5452" w:rsidRDefault="002C5452" w:rsidP="002C5452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Alpena CRTC</w:t>
      </w:r>
      <w:r w:rsidR="00C902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(Alpena County)</w:t>
      </w:r>
    </w:p>
    <w:p w14:paraId="1F836DD1" w14:textId="08E4FA38" w:rsidR="002C5452" w:rsidRPr="002C5452" w:rsidRDefault="002C5452" w:rsidP="002C54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C5452">
        <w:rPr>
          <w:rFonts w:ascii="Arial" w:hAnsi="Arial" w:cs="Arial"/>
        </w:rPr>
        <w:t xml:space="preserve">DHHS participated in the </w:t>
      </w:r>
      <w:r w:rsidR="00F063D6">
        <w:rPr>
          <w:rFonts w:ascii="Arial" w:hAnsi="Arial" w:cs="Arial"/>
        </w:rPr>
        <w:t>Air National Guard (</w:t>
      </w:r>
      <w:r w:rsidRPr="002F14B7">
        <w:rPr>
          <w:rFonts w:ascii="Arial" w:hAnsi="Arial" w:cs="Arial"/>
        </w:rPr>
        <w:t>ANG</w:t>
      </w:r>
      <w:r w:rsidR="00F063D6" w:rsidRPr="002F14B7">
        <w:rPr>
          <w:rFonts w:ascii="Arial" w:hAnsi="Arial" w:cs="Arial"/>
        </w:rPr>
        <w:t>)</w:t>
      </w:r>
      <w:r w:rsidRPr="002C5452">
        <w:rPr>
          <w:rFonts w:ascii="Arial" w:hAnsi="Arial" w:cs="Arial"/>
        </w:rPr>
        <w:t xml:space="preserve"> kickoff call to discuss next steps for remedial investigation (RI) at the CRTC site. The objective of RI is to determine vertical/horizontal extent of the contamination and update the conceptual site model. A possible public meeting to update the community regarding RI work and results from MDHHS resampling effort was also discussed.  </w:t>
      </w:r>
    </w:p>
    <w:p w14:paraId="1FA37780" w14:textId="20872FEE" w:rsidR="002C5452" w:rsidRPr="002C5452" w:rsidRDefault="002C5452" w:rsidP="002C5452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0" w:name="_Hlk58909516"/>
      <w:r w:rsidRPr="002C5452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Cedar Springs DPW (Russel Ridge Subdivision)</w:t>
      </w:r>
      <w:r w:rsidR="00C902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(Kent County)</w:t>
      </w:r>
    </w:p>
    <w:bookmarkEnd w:id="0"/>
    <w:p w14:paraId="5D2C2E82" w14:textId="649D8CB9" w:rsidR="002C5452" w:rsidRPr="002C5452" w:rsidRDefault="002C5452" w:rsidP="002C54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C5452">
        <w:rPr>
          <w:rFonts w:ascii="Arial" w:hAnsi="Arial" w:cs="Arial"/>
        </w:rPr>
        <w:t xml:space="preserve">Results for 79 homes sampled were received on </w:t>
      </w:r>
      <w:r>
        <w:rPr>
          <w:rFonts w:ascii="Arial" w:hAnsi="Arial" w:cs="Arial"/>
        </w:rPr>
        <w:t>December 9</w:t>
      </w:r>
      <w:r w:rsidRPr="002C5452">
        <w:rPr>
          <w:rFonts w:ascii="Arial" w:hAnsi="Arial" w:cs="Arial"/>
          <w:vertAlign w:val="superscript"/>
        </w:rPr>
        <w:t>th</w:t>
      </w:r>
      <w:r w:rsidRPr="002C5452">
        <w:rPr>
          <w:rFonts w:ascii="Arial" w:hAnsi="Arial" w:cs="Arial"/>
        </w:rPr>
        <w:t xml:space="preserve">: </w:t>
      </w:r>
    </w:p>
    <w:p w14:paraId="0301163C" w14:textId="5E23AE9C" w:rsidR="002C5452" w:rsidRPr="002C5452" w:rsidRDefault="002C5452" w:rsidP="002C5452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C5452">
        <w:rPr>
          <w:rFonts w:ascii="Arial" w:hAnsi="Arial" w:cs="Arial"/>
        </w:rPr>
        <w:t xml:space="preserve">46 of the 79 houses had detections of PFOA above MDHHS </w:t>
      </w:r>
      <w:r w:rsidR="00F063D6">
        <w:rPr>
          <w:rFonts w:ascii="Arial" w:hAnsi="Arial" w:cs="Arial"/>
        </w:rPr>
        <w:t>Comparison Values (</w:t>
      </w:r>
      <w:r w:rsidRPr="002F14B7">
        <w:rPr>
          <w:rFonts w:ascii="Arial" w:hAnsi="Arial" w:cs="Arial"/>
        </w:rPr>
        <w:t>CV</w:t>
      </w:r>
      <w:r w:rsidR="00F063D6" w:rsidRPr="002F14B7">
        <w:rPr>
          <w:rFonts w:ascii="Arial" w:hAnsi="Arial" w:cs="Arial"/>
        </w:rPr>
        <w:t>)</w:t>
      </w:r>
      <w:r w:rsidRPr="002F14B7">
        <w:rPr>
          <w:rFonts w:ascii="Arial" w:hAnsi="Arial" w:cs="Arial"/>
        </w:rPr>
        <w:t>,</w:t>
      </w:r>
      <w:r w:rsidRPr="002C5452">
        <w:rPr>
          <w:rFonts w:ascii="Arial" w:hAnsi="Arial" w:cs="Arial"/>
        </w:rPr>
        <w:t xml:space="preserve"> the highest being 20 ppt. Highest total PFAS was 43ppt.</w:t>
      </w:r>
    </w:p>
    <w:p w14:paraId="5BBEA994" w14:textId="0B2C94AA" w:rsidR="002C5452" w:rsidRPr="002C5452" w:rsidRDefault="002C5452" w:rsidP="002C5452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C5452">
        <w:rPr>
          <w:rFonts w:ascii="Arial" w:hAnsi="Arial" w:cs="Arial"/>
        </w:rPr>
        <w:t xml:space="preserve">13 of the 79 houses had detections of at least 1 PFAS, but did not exceed MDHHS CV. </w:t>
      </w:r>
    </w:p>
    <w:p w14:paraId="3C7C6BEF" w14:textId="279D7A94" w:rsidR="002C5452" w:rsidRPr="002C5452" w:rsidRDefault="002C5452" w:rsidP="002C5452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C5452">
        <w:rPr>
          <w:rFonts w:ascii="Arial" w:hAnsi="Arial" w:cs="Arial"/>
        </w:rPr>
        <w:t xml:space="preserve">20 of the 79 houses were </w:t>
      </w:r>
      <w:r w:rsidR="00965E83">
        <w:rPr>
          <w:rFonts w:ascii="Arial" w:hAnsi="Arial" w:cs="Arial"/>
        </w:rPr>
        <w:t>non-detect (</w:t>
      </w:r>
      <w:r w:rsidRPr="002C5452">
        <w:rPr>
          <w:rFonts w:ascii="Arial" w:hAnsi="Arial" w:cs="Arial"/>
        </w:rPr>
        <w:t>ND</w:t>
      </w:r>
      <w:r w:rsidR="00965E83">
        <w:rPr>
          <w:rFonts w:ascii="Arial" w:hAnsi="Arial" w:cs="Arial"/>
        </w:rPr>
        <w:t>)</w:t>
      </w:r>
      <w:r w:rsidRPr="002C5452">
        <w:rPr>
          <w:rFonts w:ascii="Arial" w:hAnsi="Arial" w:cs="Arial"/>
        </w:rPr>
        <w:t xml:space="preserve"> for all PFAS</w:t>
      </w:r>
    </w:p>
    <w:p w14:paraId="0C458027" w14:textId="660FC6E4" w:rsidR="002C5452" w:rsidRPr="002C5452" w:rsidRDefault="002C5452" w:rsidP="002C545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C5452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December 9</w:t>
      </w:r>
      <w:r w:rsidRPr="002C545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2C5452">
        <w:rPr>
          <w:rFonts w:ascii="Arial" w:hAnsi="Arial" w:cs="Arial"/>
        </w:rPr>
        <w:t>MDHHS and EGLE participated in Russel Ridge Association meeting to explain sampling results and answer questions.</w:t>
      </w:r>
    </w:p>
    <w:p w14:paraId="21F79D3D" w14:textId="20A1CFBF" w:rsidR="002C5452" w:rsidRPr="002C5452" w:rsidRDefault="002C5452" w:rsidP="002C5452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City of Manistee Former Landfill</w:t>
      </w:r>
      <w:r w:rsidR="00C902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(Manistee County)</w:t>
      </w:r>
    </w:p>
    <w:p w14:paraId="3357F22C" w14:textId="27517FCD" w:rsidR="002C5452" w:rsidRPr="002C5452" w:rsidRDefault="002C5452" w:rsidP="002C5452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December 10</w:t>
      </w:r>
      <w:r w:rsidRPr="002C545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2C5452">
        <w:rPr>
          <w:rFonts w:ascii="Arial" w:hAnsi="Arial" w:cs="Arial"/>
        </w:rPr>
        <w:t xml:space="preserve">EGLE sent the groundwater investigation results. There were exceedances of PFOA and PFOS. The highest PFOA result is 82 ppt and the highest PFOS results is 180 ppt. EGLE </w:t>
      </w:r>
      <w:proofErr w:type="gramStart"/>
      <w:r w:rsidRPr="002C5452">
        <w:rPr>
          <w:rFonts w:ascii="Arial" w:hAnsi="Arial" w:cs="Arial"/>
        </w:rPr>
        <w:t>doesn’t</w:t>
      </w:r>
      <w:proofErr w:type="gramEnd"/>
      <w:r w:rsidRPr="002C5452">
        <w:rPr>
          <w:rFonts w:ascii="Arial" w:hAnsi="Arial" w:cs="Arial"/>
        </w:rPr>
        <w:t xml:space="preserve"> know yet the groundwater flow direction.  Project Team meeting is scheduled for Thursday to discuss results and next steps.</w:t>
      </w:r>
    </w:p>
    <w:p w14:paraId="1BA60E46" w14:textId="6D8BC5A1" w:rsidR="002C5452" w:rsidRPr="002C5452" w:rsidRDefault="002C5452" w:rsidP="002C5452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Ludington WWTP</w:t>
      </w:r>
      <w:r w:rsidR="00C902D7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(Mason County)</w:t>
      </w:r>
    </w:p>
    <w:p w14:paraId="4C7E463B" w14:textId="79E4F357" w:rsidR="002C5452" w:rsidRPr="002C5452" w:rsidRDefault="002C5452" w:rsidP="002C5452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</w:rPr>
        <w:t>Potential Responsible Party (</w:t>
      </w:r>
      <w:r w:rsidRPr="002C5452">
        <w:rPr>
          <w:rFonts w:ascii="Arial" w:hAnsi="Arial" w:cs="Arial"/>
        </w:rPr>
        <w:t>PRP</w:t>
      </w:r>
      <w:r>
        <w:rPr>
          <w:rFonts w:ascii="Arial" w:hAnsi="Arial" w:cs="Arial"/>
        </w:rPr>
        <w:t>)</w:t>
      </w:r>
      <w:r w:rsidRPr="002C5452">
        <w:rPr>
          <w:rFonts w:ascii="Arial" w:hAnsi="Arial" w:cs="Arial"/>
        </w:rPr>
        <w:t xml:space="preserve"> has provided second-round sampling results.  One home was sampled for PFAS with total PFAS at 22 ppt (all results below CVs).  All results were ND for cyanide at 5 ppb.  No other analytes were of concern.  Cyanide results have been somewhat inconsistent, including duplicate samples, and resampling may be the best course forward for that contaminant.</w:t>
      </w:r>
    </w:p>
    <w:p w14:paraId="2DF1C804" w14:textId="4B3F7CA4" w:rsidR="002C5452" w:rsidRPr="002C5452" w:rsidRDefault="002C5452" w:rsidP="002C5452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(Emmet County) </w:t>
      </w:r>
    </w:p>
    <w:p w14:paraId="2F930C4F" w14:textId="63BA88F3" w:rsidR="002C5452" w:rsidRPr="002C5452" w:rsidRDefault="002C5452" w:rsidP="002C5452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Fonts w:ascii="Arial" w:hAnsi="Arial" w:cs="Arial"/>
        </w:rPr>
        <w:t>Emmet County is putting together a report with the airport data. They will also provide residents with a letter regarding the airport results. LTBB daycare is closed to Jan</w:t>
      </w:r>
      <w:r>
        <w:rPr>
          <w:rFonts w:ascii="Arial" w:hAnsi="Arial" w:cs="Arial"/>
        </w:rPr>
        <w:t>uary</w:t>
      </w:r>
      <w:r w:rsidRPr="002C5452">
        <w:rPr>
          <w:rFonts w:ascii="Arial" w:hAnsi="Arial" w:cs="Arial"/>
        </w:rPr>
        <w:t xml:space="preserve"> 18. Building owners will be meeting over the holidays to gather info about the well in place and will report back to </w:t>
      </w:r>
      <w:r>
        <w:rPr>
          <w:rFonts w:ascii="Arial" w:hAnsi="Arial" w:cs="Arial"/>
        </w:rPr>
        <w:t>Health Department of Northwest Michigan (</w:t>
      </w:r>
      <w:r w:rsidRPr="002C5452">
        <w:rPr>
          <w:rFonts w:ascii="Arial" w:hAnsi="Arial" w:cs="Arial"/>
        </w:rPr>
        <w:t>HDNW</w:t>
      </w:r>
      <w:r>
        <w:rPr>
          <w:rFonts w:ascii="Arial" w:hAnsi="Arial" w:cs="Arial"/>
        </w:rPr>
        <w:t>MI)</w:t>
      </w:r>
      <w:r w:rsidRPr="002C5452">
        <w:rPr>
          <w:rFonts w:ascii="Arial" w:hAnsi="Arial" w:cs="Arial"/>
        </w:rPr>
        <w:t xml:space="preserve"> with any records that they find.</w:t>
      </w:r>
    </w:p>
    <w:p w14:paraId="786D9FA0" w14:textId="6A974BBE" w:rsidR="002C5452" w:rsidRPr="002C5452" w:rsidRDefault="002C5452" w:rsidP="002C5452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Rothbury Forrest St</w:t>
      </w:r>
      <w:r w:rsidR="00243D20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ab/>
      </w:r>
    </w:p>
    <w:p w14:paraId="2091B384" w14:textId="5122C8FE" w:rsidR="002C5452" w:rsidRPr="002C5452" w:rsidRDefault="002C5452" w:rsidP="002C5452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C5452">
        <w:rPr>
          <w:rFonts w:ascii="Arial" w:hAnsi="Arial" w:cs="Arial"/>
        </w:rPr>
        <w:t>Public meeting took place on Dec</w:t>
      </w:r>
      <w:r w:rsidR="00C902D7">
        <w:rPr>
          <w:rFonts w:ascii="Arial" w:hAnsi="Arial" w:cs="Arial"/>
        </w:rPr>
        <w:t>ember</w:t>
      </w:r>
      <w:r w:rsidRPr="002C5452">
        <w:rPr>
          <w:rFonts w:ascii="Arial" w:hAnsi="Arial" w:cs="Arial"/>
        </w:rPr>
        <w:t xml:space="preserve"> 9. Health-related questions included topics such as vapor intrusion/shower vapors/skin absorption. Approximately 10 residents </w:t>
      </w:r>
      <w:proofErr w:type="gramStart"/>
      <w:r w:rsidRPr="002C5452">
        <w:rPr>
          <w:rFonts w:ascii="Arial" w:hAnsi="Arial" w:cs="Arial"/>
        </w:rPr>
        <w:t>attended</w:t>
      </w:r>
      <w:proofErr w:type="gramEnd"/>
      <w:r w:rsidRPr="002C5452">
        <w:rPr>
          <w:rFonts w:ascii="Arial" w:hAnsi="Arial" w:cs="Arial"/>
        </w:rPr>
        <w:t xml:space="preserve"> and 22 questions/comments were received.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5268FA9B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4FC3"/>
    <w:multiLevelType w:val="hybridMultilevel"/>
    <w:tmpl w:val="54D2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623CF"/>
    <w:multiLevelType w:val="hybridMultilevel"/>
    <w:tmpl w:val="C2C8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1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63FC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3D20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5452"/>
    <w:rsid w:val="002C6C79"/>
    <w:rsid w:val="002D2680"/>
    <w:rsid w:val="002D5CA8"/>
    <w:rsid w:val="002E0152"/>
    <w:rsid w:val="002E4A29"/>
    <w:rsid w:val="002E670F"/>
    <w:rsid w:val="002F14B7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47105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65E83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02D7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3CB2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3A20"/>
    <w:rsid w:val="00EF494E"/>
    <w:rsid w:val="00EF6001"/>
    <w:rsid w:val="00EF713C"/>
    <w:rsid w:val="00F03294"/>
    <w:rsid w:val="00F063D6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059D"/>
    <w:rsid w:val="00FB41E4"/>
    <w:rsid w:val="00FB73D2"/>
    <w:rsid w:val="00FC0898"/>
    <w:rsid w:val="00FC4CEF"/>
    <w:rsid w:val="00FD0EFF"/>
    <w:rsid w:val="00FD22EC"/>
    <w:rsid w:val="00FD386D"/>
    <w:rsid w:val="00FD3CDB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2020-12-18T14:00:00Z</dcterms:created>
  <dcterms:modified xsi:type="dcterms:W3CDTF">2020-12-18T14:00:00Z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