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3DB25" w14:textId="4294CCB5" w:rsidR="00656B73" w:rsidRPr="006910C6" w:rsidRDefault="00883287" w:rsidP="00883287">
      <w:pPr>
        <w:pStyle w:val="Title"/>
        <w:rPr>
          <w:color w:val="2F5496" w:themeColor="accent1" w:themeShade="BF"/>
        </w:rPr>
      </w:pPr>
      <w:bookmarkStart w:id="0" w:name="_GoBack"/>
      <w:bookmarkEnd w:id="0"/>
      <w:r w:rsidRPr="006910C6">
        <w:rPr>
          <w:color w:val="2F5496" w:themeColor="accent1" w:themeShade="BF"/>
        </w:rPr>
        <w:t>Site-Specific Public Health Action Plan</w:t>
      </w:r>
    </w:p>
    <w:sdt>
      <w:sdtPr>
        <w:rPr>
          <w:sz w:val="32"/>
          <w:szCs w:val="32"/>
        </w:rPr>
        <w:id w:val="1262110625"/>
        <w:placeholder>
          <w:docPart w:val="9D88E6D446D84A20A9D4FFF4EBA06651"/>
        </w:placeholder>
        <w:showingPlcHdr/>
      </w:sdtPr>
      <w:sdtEndPr/>
      <w:sdtContent>
        <w:p w14:paraId="617E0CC0" w14:textId="59A2E709" w:rsidR="00656B73" w:rsidRPr="006910C6" w:rsidRDefault="00656B73" w:rsidP="00656B73">
          <w:pPr>
            <w:pBdr>
              <w:bottom w:val="single" w:sz="12" w:space="1" w:color="auto"/>
            </w:pBdr>
            <w:rPr>
              <w:sz w:val="32"/>
              <w:szCs w:val="32"/>
            </w:rPr>
          </w:pPr>
          <w:r w:rsidRPr="006910C6">
            <w:rPr>
              <w:rStyle w:val="PlaceholderText"/>
              <w:color w:val="2F5496" w:themeColor="accent1" w:themeShade="BF"/>
              <w:sz w:val="32"/>
              <w:szCs w:val="32"/>
            </w:rPr>
            <w:t>Enter Site Name</w:t>
          </w:r>
        </w:p>
      </w:sdtContent>
    </w:sdt>
    <w:p w14:paraId="11A77485" w14:textId="75D6FB02" w:rsidR="00626784" w:rsidRPr="006910C6" w:rsidRDefault="00656B73" w:rsidP="00883287">
      <w:pPr>
        <w:pStyle w:val="Title"/>
        <w:rPr>
          <w:sz w:val="24"/>
          <w:szCs w:val="24"/>
        </w:rPr>
      </w:pPr>
      <w:r w:rsidRPr="006910C6">
        <w:rPr>
          <w:sz w:val="24"/>
          <w:szCs w:val="24"/>
        </w:rPr>
        <w:t>Updated October 09, 2018</w:t>
      </w:r>
      <w:r w:rsidR="00883287" w:rsidRPr="006910C6">
        <w:rPr>
          <w:sz w:val="24"/>
          <w:szCs w:val="24"/>
        </w:rPr>
        <w:t xml:space="preserve"> </w:t>
      </w:r>
    </w:p>
    <w:p w14:paraId="0B5D1D57" w14:textId="11995932" w:rsidR="00883287" w:rsidRPr="00B26C8C" w:rsidRDefault="00B26C8C" w:rsidP="009C0118">
      <w:pPr>
        <w:spacing w:before="240"/>
        <w:rPr>
          <w:i/>
          <w:color w:val="FF0000"/>
        </w:rPr>
      </w:pPr>
      <w:r w:rsidRPr="00B26C8C">
        <w:rPr>
          <w:i/>
          <w:color w:val="FF0000"/>
          <w:highlight w:val="yellow"/>
        </w:rPr>
        <w:t>C</w:t>
      </w:r>
      <w:r w:rsidR="008D7493" w:rsidRPr="00B26C8C">
        <w:rPr>
          <w:i/>
          <w:color w:val="FF0000"/>
          <w:highlight w:val="yellow"/>
        </w:rPr>
        <w:t>omplete each of the following sections. Red italicized text are instruction</w:t>
      </w:r>
      <w:r w:rsidR="00CB03FF">
        <w:rPr>
          <w:i/>
          <w:color w:val="FF0000"/>
          <w:highlight w:val="yellow"/>
        </w:rPr>
        <w:t xml:space="preserve"> and</w:t>
      </w:r>
      <w:r w:rsidR="008D7493" w:rsidRPr="00B26C8C">
        <w:rPr>
          <w:i/>
          <w:color w:val="FF0000"/>
          <w:highlight w:val="yellow"/>
        </w:rPr>
        <w:t xml:space="preserve"> should be deleted once </w:t>
      </w:r>
      <w:r w:rsidR="00091E6C" w:rsidRPr="00B26C8C">
        <w:rPr>
          <w:i/>
          <w:color w:val="FF0000"/>
          <w:highlight w:val="yellow"/>
        </w:rPr>
        <w:t>section is completed.</w:t>
      </w:r>
      <w:r w:rsidR="00091E6C" w:rsidRPr="00B26C8C">
        <w:rPr>
          <w:i/>
          <w:color w:val="FF0000"/>
        </w:rPr>
        <w:t xml:space="preserve"> </w:t>
      </w:r>
    </w:p>
    <w:p w14:paraId="19ED8FF8" w14:textId="07FF832E" w:rsidR="009D7A0D" w:rsidRPr="001C5D09" w:rsidRDefault="009D7A0D" w:rsidP="0019620D">
      <w:pPr>
        <w:pStyle w:val="Heading2"/>
        <w:spacing w:after="240"/>
      </w:pPr>
      <w:bookmarkStart w:id="1" w:name="_Toc526848930"/>
      <w:r w:rsidRPr="001C5D09">
        <w:t>Site Team</w:t>
      </w:r>
      <w:bookmarkEnd w:id="1"/>
      <w:r w:rsidRPr="001C5D09">
        <w:t xml:space="preserve"> </w:t>
      </w:r>
    </w:p>
    <w:tbl>
      <w:tblPr>
        <w:tblStyle w:val="TableGrid"/>
        <w:tblW w:w="0" w:type="auto"/>
        <w:tblInd w:w="-5" w:type="dxa"/>
        <w:tblLook w:val="04A0" w:firstRow="1" w:lastRow="0" w:firstColumn="1" w:lastColumn="0" w:noHBand="0" w:noVBand="1"/>
      </w:tblPr>
      <w:tblGrid>
        <w:gridCol w:w="2521"/>
        <w:gridCol w:w="2623"/>
      </w:tblGrid>
      <w:tr w:rsidR="00CB7F2E" w14:paraId="02EDFE60" w14:textId="77777777" w:rsidTr="009D7A0D">
        <w:trPr>
          <w:trHeight w:val="244"/>
        </w:trPr>
        <w:tc>
          <w:tcPr>
            <w:tcW w:w="2521" w:type="dxa"/>
            <w:tcBorders>
              <w:top w:val="single" w:sz="4" w:space="0" w:color="auto"/>
              <w:left w:val="single" w:sz="4" w:space="0" w:color="auto"/>
              <w:bottom w:val="single" w:sz="4" w:space="0" w:color="auto"/>
              <w:right w:val="single" w:sz="4" w:space="0" w:color="auto"/>
            </w:tcBorders>
          </w:tcPr>
          <w:p w14:paraId="5E95D5B3" w14:textId="7DAAFD38" w:rsidR="00CB7F2E" w:rsidRPr="00797A29" w:rsidRDefault="00CB7F2E" w:rsidP="00883287">
            <w:pPr>
              <w:rPr>
                <w:b/>
              </w:rPr>
            </w:pPr>
            <w:r>
              <w:rPr>
                <w:b/>
              </w:rPr>
              <w:t>Agency</w:t>
            </w:r>
          </w:p>
        </w:tc>
        <w:tc>
          <w:tcPr>
            <w:tcW w:w="2623" w:type="dxa"/>
            <w:tcBorders>
              <w:top w:val="single" w:sz="4" w:space="0" w:color="auto"/>
              <w:left w:val="single" w:sz="4" w:space="0" w:color="auto"/>
              <w:bottom w:val="single" w:sz="4" w:space="0" w:color="auto"/>
              <w:right w:val="single" w:sz="4" w:space="0" w:color="auto"/>
            </w:tcBorders>
          </w:tcPr>
          <w:p w14:paraId="59FE1164" w14:textId="76D8920F" w:rsidR="00CB7F2E" w:rsidRPr="00797A29" w:rsidRDefault="00CB7F2E" w:rsidP="00883287">
            <w:pPr>
              <w:rPr>
                <w:b/>
              </w:rPr>
            </w:pPr>
            <w:r>
              <w:rPr>
                <w:b/>
              </w:rPr>
              <w:t>Name</w:t>
            </w:r>
            <w:r w:rsidR="00BF13D8">
              <w:rPr>
                <w:b/>
              </w:rPr>
              <w:t>/Role</w:t>
            </w:r>
          </w:p>
        </w:tc>
      </w:tr>
      <w:tr w:rsidR="00797A29" w14:paraId="6BAA1FCC" w14:textId="77777777" w:rsidTr="00D85C96">
        <w:trPr>
          <w:trHeight w:val="346"/>
        </w:trPr>
        <w:tc>
          <w:tcPr>
            <w:tcW w:w="2521" w:type="dxa"/>
            <w:vMerge w:val="restart"/>
            <w:tcBorders>
              <w:top w:val="single" w:sz="4" w:space="0" w:color="auto"/>
            </w:tcBorders>
            <w:vAlign w:val="center"/>
          </w:tcPr>
          <w:p w14:paraId="546970F0" w14:textId="32C6BAA8" w:rsidR="00797A29" w:rsidRDefault="00797A29" w:rsidP="00BF13D8">
            <w:r>
              <w:t xml:space="preserve">MDHHS </w:t>
            </w:r>
          </w:p>
        </w:tc>
        <w:tc>
          <w:tcPr>
            <w:tcW w:w="2623" w:type="dxa"/>
            <w:tcBorders>
              <w:top w:val="single" w:sz="4" w:space="0" w:color="auto"/>
            </w:tcBorders>
            <w:vAlign w:val="center"/>
          </w:tcPr>
          <w:p w14:paraId="6C1E90E9" w14:textId="0DC2FA0D" w:rsidR="00797A29" w:rsidRDefault="00CB7F2E" w:rsidP="00D85C96">
            <w:r>
              <w:t>Lead Toxicologist</w:t>
            </w:r>
          </w:p>
        </w:tc>
      </w:tr>
      <w:tr w:rsidR="00CB7F2E" w14:paraId="2DAF9160" w14:textId="77777777" w:rsidTr="00D85C96">
        <w:trPr>
          <w:trHeight w:val="346"/>
        </w:trPr>
        <w:tc>
          <w:tcPr>
            <w:tcW w:w="2521" w:type="dxa"/>
            <w:vMerge/>
          </w:tcPr>
          <w:p w14:paraId="4B9CC86F" w14:textId="77777777" w:rsidR="00CB7F2E" w:rsidRDefault="00CB7F2E" w:rsidP="00883287"/>
        </w:tc>
        <w:tc>
          <w:tcPr>
            <w:tcW w:w="2623" w:type="dxa"/>
            <w:tcBorders>
              <w:top w:val="single" w:sz="4" w:space="0" w:color="auto"/>
            </w:tcBorders>
            <w:vAlign w:val="center"/>
          </w:tcPr>
          <w:p w14:paraId="58C23672" w14:textId="3F266C24" w:rsidR="00CB7F2E" w:rsidRDefault="00CB7F2E" w:rsidP="00D85C96">
            <w:r>
              <w:t xml:space="preserve">Health Educator </w:t>
            </w:r>
          </w:p>
        </w:tc>
      </w:tr>
      <w:tr w:rsidR="00576959" w14:paraId="5147845E" w14:textId="77777777" w:rsidTr="00D85C96">
        <w:trPr>
          <w:trHeight w:val="346"/>
        </w:trPr>
        <w:tc>
          <w:tcPr>
            <w:tcW w:w="2521" w:type="dxa"/>
            <w:vAlign w:val="center"/>
          </w:tcPr>
          <w:p w14:paraId="7892B756" w14:textId="7E3DFAF6" w:rsidR="00576959" w:rsidRDefault="00576959" w:rsidP="00D85C96">
            <w:r>
              <w:t>MDEQ</w:t>
            </w:r>
          </w:p>
        </w:tc>
        <w:tc>
          <w:tcPr>
            <w:tcW w:w="2623" w:type="dxa"/>
            <w:vAlign w:val="center"/>
          </w:tcPr>
          <w:p w14:paraId="2F90638A" w14:textId="5102A293" w:rsidR="00576959" w:rsidRDefault="00D85C96" w:rsidP="00D85C96">
            <w:r>
              <w:t>Project Manager</w:t>
            </w:r>
          </w:p>
        </w:tc>
      </w:tr>
      <w:tr w:rsidR="00576959" w14:paraId="0876CD11" w14:textId="77777777" w:rsidTr="00D85C96">
        <w:trPr>
          <w:trHeight w:val="350"/>
        </w:trPr>
        <w:tc>
          <w:tcPr>
            <w:tcW w:w="2521" w:type="dxa"/>
            <w:vAlign w:val="center"/>
          </w:tcPr>
          <w:p w14:paraId="3FADDED1" w14:textId="757F6D45" w:rsidR="00576959" w:rsidRDefault="00576959" w:rsidP="00D85C96">
            <w:r>
              <w:t xml:space="preserve">Local Health Dept. </w:t>
            </w:r>
          </w:p>
        </w:tc>
        <w:tc>
          <w:tcPr>
            <w:tcW w:w="2623" w:type="dxa"/>
            <w:vAlign w:val="center"/>
          </w:tcPr>
          <w:p w14:paraId="0C49DB82" w14:textId="77777777" w:rsidR="00576959" w:rsidRDefault="00576959" w:rsidP="00D85C96"/>
        </w:tc>
      </w:tr>
    </w:tbl>
    <w:p w14:paraId="129DB4A7" w14:textId="77777777" w:rsidR="00576959" w:rsidRDefault="00576959" w:rsidP="00883287"/>
    <w:p w14:paraId="3F867553" w14:textId="75B13A91" w:rsidR="00091E6C" w:rsidRDefault="00091E6C" w:rsidP="00091E6C">
      <w:pPr>
        <w:pStyle w:val="Heading2"/>
      </w:pPr>
      <w:bookmarkStart w:id="2" w:name="_Toc526848931"/>
      <w:r>
        <w:t>Section 1: Reason for the In</w:t>
      </w:r>
      <w:r w:rsidR="00056CF0">
        <w:t>vestigation</w:t>
      </w:r>
      <w:bookmarkEnd w:id="2"/>
      <w:r w:rsidR="00056CF0">
        <w:t xml:space="preserve"> </w:t>
      </w:r>
    </w:p>
    <w:p w14:paraId="2B20D665" w14:textId="34808064" w:rsidR="00056CF0" w:rsidRPr="00A71D53" w:rsidRDefault="00BF13D8" w:rsidP="00482073">
      <w:pPr>
        <w:spacing w:before="240"/>
        <w:rPr>
          <w:i/>
          <w:color w:val="FF0000"/>
          <w:sz w:val="20"/>
          <w:szCs w:val="20"/>
        </w:rPr>
      </w:pPr>
      <w:r w:rsidRPr="00A71D53">
        <w:rPr>
          <w:i/>
          <w:color w:val="FF0000"/>
          <w:sz w:val="20"/>
          <w:szCs w:val="20"/>
        </w:rPr>
        <w:t>Include</w:t>
      </w:r>
      <w:r w:rsidR="001F72F8" w:rsidRPr="00A71D53">
        <w:rPr>
          <w:i/>
          <w:color w:val="FF0000"/>
          <w:sz w:val="20"/>
          <w:szCs w:val="20"/>
        </w:rPr>
        <w:t xml:space="preserve"> a brief background overview of the characteristics that led the regulatory agency to begin sampling private drinking water wells including the description of what is suspected or known about a localized PFAS source. This section includes PFAS groundwater data, if known, as well as information about the suspected source.</w:t>
      </w:r>
    </w:p>
    <w:p w14:paraId="5FAACE63" w14:textId="50BF88E4" w:rsidR="00056CF0" w:rsidRDefault="00A71D53" w:rsidP="00F270D8">
      <w:pPr>
        <w:tabs>
          <w:tab w:val="left" w:pos="5655"/>
        </w:tabs>
      </w:pPr>
      <w:r>
        <w:t>Enter Text Here</w:t>
      </w:r>
      <w:r w:rsidR="00F270D8">
        <w:tab/>
      </w:r>
    </w:p>
    <w:p w14:paraId="7A984818" w14:textId="77777777" w:rsidR="00F270D8" w:rsidRDefault="00F270D8" w:rsidP="00F270D8">
      <w:pPr>
        <w:tabs>
          <w:tab w:val="left" w:pos="5655"/>
        </w:tabs>
      </w:pPr>
    </w:p>
    <w:p w14:paraId="7D8D91A7" w14:textId="153E8DE2" w:rsidR="00056CF0" w:rsidRDefault="00056CF0" w:rsidP="00056CF0">
      <w:pPr>
        <w:pStyle w:val="Heading2"/>
      </w:pPr>
      <w:bookmarkStart w:id="3" w:name="_Toc526848932"/>
      <w:r>
        <w:t>Section 2: Sampling Plan Rationale</w:t>
      </w:r>
      <w:bookmarkEnd w:id="3"/>
    </w:p>
    <w:p w14:paraId="1BD5D2BF" w14:textId="28FDE20A" w:rsidR="00056CF0" w:rsidRPr="00A71D53" w:rsidRDefault="00E537C0" w:rsidP="00482073">
      <w:pPr>
        <w:spacing w:before="240"/>
        <w:rPr>
          <w:i/>
          <w:color w:val="FF0000"/>
          <w:sz w:val="20"/>
          <w:szCs w:val="20"/>
        </w:rPr>
      </w:pPr>
      <w:r w:rsidRPr="00A71D53">
        <w:rPr>
          <w:i/>
          <w:color w:val="FF0000"/>
          <w:sz w:val="20"/>
          <w:szCs w:val="20"/>
        </w:rPr>
        <w:t>Describe</w:t>
      </w:r>
      <w:r w:rsidR="001C1850" w:rsidRPr="00A71D53">
        <w:rPr>
          <w:i/>
          <w:color w:val="FF0000"/>
          <w:sz w:val="20"/>
          <w:szCs w:val="20"/>
        </w:rPr>
        <w:t xml:space="preserve"> the logic for selecting a given set of private wells for sample collection, citing factors from the MDEQ site characterization factors list.</w:t>
      </w:r>
      <w:r w:rsidR="000B2A1A" w:rsidRPr="00A71D53">
        <w:rPr>
          <w:i/>
          <w:color w:val="FF0000"/>
          <w:sz w:val="20"/>
          <w:szCs w:val="20"/>
        </w:rPr>
        <w:t xml:space="preserve"> </w:t>
      </w:r>
      <w:r w:rsidR="001C1850" w:rsidRPr="00A71D53">
        <w:rPr>
          <w:i/>
          <w:color w:val="FF0000"/>
          <w:sz w:val="20"/>
          <w:szCs w:val="20"/>
        </w:rPr>
        <w:t xml:space="preserve">The sampling plan includes a map depicting the sampling area being investigated along with a description of the rationale for selecting the given area. The plan describes, to the extent possible, the expected spatial extent of the private well results as well as listing the limitations and uncertainties associated with the data. The sampling plan states how long the well results are representative of the PFAS concentrations in the drinking water (i.e., temporal representation or “shelf-life”). This section includes an estimated timeline for sample collection, sample analysis, and reporting validated data to the partner </w:t>
      </w:r>
      <w:r w:rsidR="000B2A1A" w:rsidRPr="00A71D53">
        <w:rPr>
          <w:i/>
          <w:color w:val="FF0000"/>
          <w:sz w:val="20"/>
          <w:szCs w:val="20"/>
        </w:rPr>
        <w:t>a</w:t>
      </w:r>
      <w:r w:rsidR="001C1850" w:rsidRPr="00A71D53">
        <w:rPr>
          <w:i/>
          <w:color w:val="FF0000"/>
          <w:sz w:val="20"/>
          <w:szCs w:val="20"/>
        </w:rPr>
        <w:t>gencies.</w:t>
      </w:r>
    </w:p>
    <w:p w14:paraId="53D011C4" w14:textId="28199C43" w:rsidR="00056CF0" w:rsidRDefault="00A1462C" w:rsidP="00F270D8">
      <w:pPr>
        <w:tabs>
          <w:tab w:val="left" w:pos="5235"/>
        </w:tabs>
      </w:pPr>
      <w:r>
        <w:t>Enter Text Here</w:t>
      </w:r>
      <w:r w:rsidR="00F270D8">
        <w:tab/>
      </w:r>
    </w:p>
    <w:p w14:paraId="62E8530A" w14:textId="77777777" w:rsidR="00E24097" w:rsidRDefault="00E24097" w:rsidP="00F270D8">
      <w:pPr>
        <w:tabs>
          <w:tab w:val="left" w:pos="5235"/>
        </w:tabs>
      </w:pPr>
    </w:p>
    <w:p w14:paraId="03A6F52A" w14:textId="0C400C53" w:rsidR="001C1850" w:rsidRDefault="00056CF0" w:rsidP="00056CF0">
      <w:pPr>
        <w:pStyle w:val="Heading2"/>
      </w:pPr>
      <w:bookmarkStart w:id="4" w:name="_Toc526848933"/>
      <w:r>
        <w:t>Section 3: Data Evaluation Response Plan</w:t>
      </w:r>
      <w:bookmarkEnd w:id="4"/>
      <w:r>
        <w:t xml:space="preserve"> </w:t>
      </w:r>
    </w:p>
    <w:p w14:paraId="26E059BB" w14:textId="77777777" w:rsidR="00C60C57" w:rsidRPr="00A1462C" w:rsidRDefault="001C1850" w:rsidP="00482073">
      <w:pPr>
        <w:spacing w:before="240"/>
        <w:rPr>
          <w:i/>
          <w:color w:val="FF0000"/>
          <w:sz w:val="20"/>
          <w:szCs w:val="20"/>
        </w:rPr>
      </w:pPr>
      <w:r w:rsidRPr="00A1462C">
        <w:rPr>
          <w:i/>
          <w:color w:val="FF0000"/>
          <w:sz w:val="20"/>
          <w:szCs w:val="20"/>
        </w:rPr>
        <w:t xml:space="preserve">The Data Evaluation Response Plan section is created using the Private Drinking Water Well Decision Framework to guide a multi-agency conversation to determine what actions are taken based on the </w:t>
      </w:r>
      <w:r w:rsidRPr="00A1462C">
        <w:rPr>
          <w:i/>
          <w:color w:val="FF0000"/>
          <w:sz w:val="20"/>
          <w:szCs w:val="20"/>
        </w:rPr>
        <w:lastRenderedPageBreak/>
        <w:t xml:space="preserve">private well analytical results. The data evaluation response plan identifies actions that limit residents’ risk of hazardous exposures to PFAS contaminated groundwater. </w:t>
      </w:r>
    </w:p>
    <w:p w14:paraId="13B20C43" w14:textId="77777777" w:rsidR="005427A0" w:rsidRPr="00A1462C" w:rsidRDefault="001C1850" w:rsidP="005427A0">
      <w:pPr>
        <w:pStyle w:val="ListParagraph"/>
        <w:numPr>
          <w:ilvl w:val="0"/>
          <w:numId w:val="3"/>
        </w:numPr>
        <w:rPr>
          <w:i/>
          <w:color w:val="FF0000"/>
          <w:sz w:val="20"/>
          <w:szCs w:val="20"/>
        </w:rPr>
      </w:pPr>
      <w:r w:rsidRPr="00A1462C">
        <w:rPr>
          <w:i/>
          <w:color w:val="FF0000"/>
          <w:sz w:val="20"/>
          <w:szCs w:val="20"/>
        </w:rPr>
        <w:t xml:space="preserve">The actions must address uncertainties associated with PFAS source location, strength, and movement relative to the location of private drinking water wells. </w:t>
      </w:r>
    </w:p>
    <w:p w14:paraId="2A69F29D" w14:textId="0C0DBBD4" w:rsidR="001C1850" w:rsidRDefault="001C1850" w:rsidP="005427A0">
      <w:pPr>
        <w:pStyle w:val="ListParagraph"/>
        <w:numPr>
          <w:ilvl w:val="0"/>
          <w:numId w:val="3"/>
        </w:numPr>
        <w:rPr>
          <w:i/>
          <w:color w:val="FF0000"/>
          <w:sz w:val="20"/>
          <w:szCs w:val="20"/>
        </w:rPr>
      </w:pPr>
      <w:r w:rsidRPr="00A1462C">
        <w:rPr>
          <w:i/>
          <w:color w:val="FF0000"/>
          <w:sz w:val="20"/>
          <w:szCs w:val="20"/>
        </w:rPr>
        <w:t>The actions must</w:t>
      </w:r>
      <w:r w:rsidR="00BC23F5" w:rsidRPr="00A1462C">
        <w:rPr>
          <w:i/>
          <w:color w:val="FF0000"/>
          <w:sz w:val="20"/>
          <w:szCs w:val="20"/>
        </w:rPr>
        <w:t xml:space="preserve"> </w:t>
      </w:r>
      <w:r w:rsidRPr="00A1462C">
        <w:rPr>
          <w:i/>
          <w:color w:val="FF0000"/>
          <w:sz w:val="20"/>
          <w:szCs w:val="20"/>
        </w:rPr>
        <w:t>include communication of residential drinking water results, source characteristics, drinking water recommendations, health education, and the reasons for public health actions.</w:t>
      </w:r>
    </w:p>
    <w:p w14:paraId="05EB64B9" w14:textId="47A81F9C" w:rsidR="00A1462C" w:rsidRDefault="00A1462C" w:rsidP="00A1462C">
      <w:pPr>
        <w:rPr>
          <w:b/>
        </w:rPr>
      </w:pPr>
      <w:r>
        <w:t>Enter Text Here</w:t>
      </w:r>
    </w:p>
    <w:p w14:paraId="17D17A5E" w14:textId="77777777" w:rsidR="00A1462C" w:rsidRPr="00482073" w:rsidRDefault="00A1462C" w:rsidP="00A1462C">
      <w:pPr>
        <w:rPr>
          <w:color w:val="FF0000"/>
          <w:sz w:val="20"/>
          <w:szCs w:val="20"/>
        </w:rPr>
      </w:pPr>
    </w:p>
    <w:p w14:paraId="4F0D60BF" w14:textId="08B12D9B" w:rsidR="00E24097" w:rsidRDefault="00E24097" w:rsidP="00DD13BC">
      <w:pPr>
        <w:pStyle w:val="Heading2"/>
      </w:pPr>
      <w:r>
        <w:t>Section 3.1</w:t>
      </w:r>
      <w:r w:rsidR="00DD13BC">
        <w:t xml:space="preserve">: </w:t>
      </w:r>
      <w:r w:rsidR="00DD13BC" w:rsidRPr="00DD13BC">
        <w:rPr>
          <w:highlight w:val="yellow"/>
        </w:rPr>
        <w:t>Category 1 and 2 Sites or Category 3</w:t>
      </w:r>
    </w:p>
    <w:p w14:paraId="2C9B8D98" w14:textId="06D907D0" w:rsidR="005E78D4" w:rsidRPr="008C5DF1" w:rsidRDefault="008C5DF1" w:rsidP="00482073">
      <w:pPr>
        <w:spacing w:before="240"/>
        <w:rPr>
          <w:i/>
          <w:color w:val="FF0000"/>
        </w:rPr>
      </w:pPr>
      <w:r w:rsidRPr="008C5DF1">
        <w:rPr>
          <w:i/>
          <w:color w:val="FF0000"/>
          <w:u w:val="single"/>
        </w:rPr>
        <w:t xml:space="preserve">Category 1 and </w:t>
      </w:r>
      <w:r w:rsidR="001C5D09">
        <w:rPr>
          <w:i/>
          <w:color w:val="FF0000"/>
          <w:u w:val="single"/>
        </w:rPr>
        <w:t xml:space="preserve">2 </w:t>
      </w:r>
      <w:r w:rsidRPr="008C5DF1">
        <w:rPr>
          <w:i/>
          <w:color w:val="FF0000"/>
          <w:u w:val="single"/>
        </w:rPr>
        <w:t>Sites:</w:t>
      </w:r>
      <w:r w:rsidRPr="008C5DF1">
        <w:rPr>
          <w:i/>
          <w:color w:val="FF0000"/>
        </w:rPr>
        <w:t xml:space="preserve"> A</w:t>
      </w:r>
      <w:r w:rsidR="005E78D4" w:rsidRPr="008C5DF1">
        <w:rPr>
          <w:i/>
          <w:color w:val="FF0000"/>
        </w:rPr>
        <w:t>ctions must include one of the following approaches:</w:t>
      </w:r>
    </w:p>
    <w:p w14:paraId="6693D735" w14:textId="77777777" w:rsidR="005E78D4" w:rsidRPr="008C5DF1" w:rsidRDefault="005E78D4" w:rsidP="005E78D4">
      <w:pPr>
        <w:pStyle w:val="ListParagraph"/>
        <w:numPr>
          <w:ilvl w:val="0"/>
          <w:numId w:val="1"/>
        </w:numPr>
        <w:rPr>
          <w:i/>
          <w:color w:val="FF0000"/>
        </w:rPr>
      </w:pPr>
      <w:r w:rsidRPr="008C5DF1">
        <w:rPr>
          <w:i/>
          <w:color w:val="FF0000"/>
        </w:rPr>
        <w:t>timely implementation of a PFAS groundwater sampling approach that monitors for temporal and spatial fluctuations of PFAS groundwater levels allowing for detection of hazardous PFAS levels occurring in private drinking water wells in and around the mapped sampling area, and a public health evaluation of potential health risk.</w:t>
      </w:r>
    </w:p>
    <w:p w14:paraId="50B40809" w14:textId="77777777" w:rsidR="005E78D4" w:rsidRPr="008C5DF1" w:rsidRDefault="005E78D4" w:rsidP="005E78D4">
      <w:pPr>
        <w:pStyle w:val="ListParagraph"/>
        <w:numPr>
          <w:ilvl w:val="0"/>
          <w:numId w:val="1"/>
        </w:numPr>
        <w:rPr>
          <w:i/>
          <w:color w:val="FF0000"/>
        </w:rPr>
      </w:pPr>
      <w:r w:rsidRPr="008C5DF1">
        <w:rPr>
          <w:i/>
          <w:color w:val="FF0000"/>
        </w:rPr>
        <w:t>repeat sampling and analysis of private wells for PFAS within the mapped sampling area until a data set is established across seasonal and temporal variations that demonstrates low risk of hazardous PFAS levels occurring in the private drinking water wells.</w:t>
      </w:r>
    </w:p>
    <w:p w14:paraId="25A51DCF" w14:textId="77777777" w:rsidR="005E78D4" w:rsidRPr="008C5DF1" w:rsidRDefault="005E78D4" w:rsidP="005E78D4">
      <w:pPr>
        <w:pStyle w:val="ListParagraph"/>
        <w:numPr>
          <w:ilvl w:val="0"/>
          <w:numId w:val="1"/>
        </w:numPr>
        <w:rPr>
          <w:i/>
          <w:color w:val="FF0000"/>
        </w:rPr>
      </w:pPr>
      <w:r w:rsidRPr="008C5DF1">
        <w:rPr>
          <w:i/>
          <w:color w:val="FF0000"/>
        </w:rPr>
        <w:t>written explanation by MDEQ to the Site Team and the residents on why monitoring data is not needed in order to demonstrate that people drinking from private wells, sampled once by the regulatory agency, do not require further monitoring.</w:t>
      </w:r>
    </w:p>
    <w:p w14:paraId="5E78C809" w14:textId="5A5021B1" w:rsidR="00DD13BC" w:rsidRDefault="00A1462C" w:rsidP="00DD13BC">
      <w:r>
        <w:t>Enter Text Here</w:t>
      </w:r>
    </w:p>
    <w:p w14:paraId="4F297052" w14:textId="77777777" w:rsidR="00A1462C" w:rsidRPr="00E9428A" w:rsidRDefault="00A1462C" w:rsidP="00DD13BC"/>
    <w:p w14:paraId="19F9DA7F" w14:textId="102F4A29" w:rsidR="008C5DF1" w:rsidRPr="008C5DF1" w:rsidRDefault="008C5DF1" w:rsidP="008C5DF1">
      <w:pPr>
        <w:rPr>
          <w:i/>
          <w:color w:val="FF0000"/>
        </w:rPr>
      </w:pPr>
      <w:r w:rsidRPr="008C5DF1">
        <w:rPr>
          <w:i/>
          <w:color w:val="FF0000"/>
          <w:u w:val="single"/>
        </w:rPr>
        <w:t>Category 3 Sites:</w:t>
      </w:r>
      <w:r w:rsidRPr="008C5DF1">
        <w:rPr>
          <w:i/>
          <w:color w:val="FF0000"/>
        </w:rPr>
        <w:t xml:space="preserve"> Actions must include one of the following approaches: </w:t>
      </w:r>
    </w:p>
    <w:p w14:paraId="114565ED" w14:textId="7419B9CD" w:rsidR="005E78D4" w:rsidRPr="008C5DF1" w:rsidRDefault="005E78D4" w:rsidP="005E78D4">
      <w:pPr>
        <w:pStyle w:val="ListParagraph"/>
        <w:numPr>
          <w:ilvl w:val="0"/>
          <w:numId w:val="2"/>
        </w:numPr>
        <w:rPr>
          <w:i/>
          <w:color w:val="FF0000"/>
        </w:rPr>
      </w:pPr>
      <w:r w:rsidRPr="008C5DF1">
        <w:rPr>
          <w:i/>
          <w:color w:val="FF0000"/>
        </w:rPr>
        <w:t>timely investigation, ranging from desk-top efforts to sample collection in the field, of the suspected source, and a written determination made by the regulatory agency (MDEQ or US EPA) that will guide the Site Team to move the site to either a Category 2, opening a site investigation, or Category 4,  providing residents communication on why groundwater monitoring data is not needed for this site.</w:t>
      </w:r>
    </w:p>
    <w:p w14:paraId="2E63EA73" w14:textId="77777777" w:rsidR="005E78D4" w:rsidRPr="008C5DF1" w:rsidRDefault="005E78D4" w:rsidP="005E78D4">
      <w:pPr>
        <w:pStyle w:val="ListParagraph"/>
        <w:numPr>
          <w:ilvl w:val="0"/>
          <w:numId w:val="2"/>
        </w:numPr>
        <w:rPr>
          <w:i/>
          <w:color w:val="FF0000"/>
        </w:rPr>
      </w:pPr>
      <w:r w:rsidRPr="008C5DF1">
        <w:rPr>
          <w:i/>
          <w:color w:val="FF0000"/>
        </w:rPr>
        <w:t>A Category 4 site will likely only require communication to residents whose wells were tested.</w:t>
      </w:r>
    </w:p>
    <w:p w14:paraId="6593227F" w14:textId="7F582625" w:rsidR="00E9428A" w:rsidRPr="00E9428A" w:rsidRDefault="00A1462C" w:rsidP="001C1850">
      <w:r>
        <w:t>Enter Text Here</w:t>
      </w:r>
    </w:p>
    <w:p w14:paraId="5D99C227" w14:textId="646DF3E4" w:rsidR="005E78D4" w:rsidRDefault="005E78D4" w:rsidP="007D1901"/>
    <w:p w14:paraId="2A32D593" w14:textId="472CC3A9" w:rsidR="007D74F4" w:rsidRDefault="007D74F4" w:rsidP="007D74F4">
      <w:pPr>
        <w:pStyle w:val="Heading2"/>
      </w:pPr>
      <w:r>
        <w:t>Section 4: Public Health Action Logistics</w:t>
      </w:r>
    </w:p>
    <w:p w14:paraId="6EAABB4B" w14:textId="77777777" w:rsidR="007D74F4" w:rsidRDefault="007D74F4" w:rsidP="007D1901">
      <w:pPr>
        <w:rPr>
          <w:i/>
          <w:color w:val="FF0000"/>
          <w:sz w:val="20"/>
          <w:szCs w:val="20"/>
        </w:rPr>
      </w:pPr>
    </w:p>
    <w:p w14:paraId="0723456F" w14:textId="3F4ADF30" w:rsidR="006B38E1" w:rsidRDefault="007D74F4">
      <w:pPr>
        <w:rPr>
          <w:i/>
          <w:color w:val="FF0000"/>
          <w:sz w:val="20"/>
          <w:szCs w:val="20"/>
        </w:rPr>
      </w:pPr>
      <w:r>
        <w:rPr>
          <w:i/>
          <w:color w:val="FF0000"/>
          <w:sz w:val="20"/>
          <w:szCs w:val="20"/>
        </w:rPr>
        <w:t>Public Health Action Logistics section operationalizes flow of data and information to all departments on the Site Team, results reporting to the residents, health education messaging to individuals and the community, and the delivery of nay public health-provided interim alternate water</w:t>
      </w:r>
      <w:bookmarkStart w:id="5" w:name="_Toc526848934"/>
    </w:p>
    <w:p w14:paraId="553EF1E7" w14:textId="77777777" w:rsidR="007D74F4" w:rsidRPr="00E9428A" w:rsidRDefault="007D74F4" w:rsidP="007D74F4">
      <w:r>
        <w:lastRenderedPageBreak/>
        <w:t>Enter Text Here</w:t>
      </w:r>
    </w:p>
    <w:p w14:paraId="3DE2E735" w14:textId="77777777" w:rsidR="007D74F4" w:rsidRDefault="007D74F4">
      <w:pPr>
        <w:rPr>
          <w:rFonts w:eastAsiaTheme="majorEastAsia" w:cstheme="majorBidi"/>
          <w:color w:val="2F5496" w:themeColor="accent1" w:themeShade="BF"/>
          <w:sz w:val="32"/>
          <w:szCs w:val="26"/>
        </w:rPr>
      </w:pPr>
      <w:r>
        <w:br w:type="page"/>
      </w:r>
    </w:p>
    <w:p w14:paraId="0FA6269B" w14:textId="6AD30E92" w:rsidR="00EC3277" w:rsidRDefault="008A2B98" w:rsidP="00EC3277">
      <w:pPr>
        <w:pStyle w:val="Heading2"/>
        <w:spacing w:after="240"/>
      </w:pPr>
      <w:r>
        <w:lastRenderedPageBreak/>
        <w:t>Figure 1: Site Map</w:t>
      </w:r>
      <w:bookmarkEnd w:id="5"/>
    </w:p>
    <w:tbl>
      <w:tblPr>
        <w:tblStyle w:val="TableGrid"/>
        <w:tblW w:w="9424" w:type="dxa"/>
        <w:tblLook w:val="04A0" w:firstRow="1" w:lastRow="0" w:firstColumn="1" w:lastColumn="0" w:noHBand="0" w:noVBand="1"/>
      </w:tblPr>
      <w:tblGrid>
        <w:gridCol w:w="9424"/>
      </w:tblGrid>
      <w:tr w:rsidR="006B38E1" w14:paraId="7FD167CE" w14:textId="77777777" w:rsidTr="00482073">
        <w:trPr>
          <w:trHeight w:val="10808"/>
        </w:trPr>
        <w:tc>
          <w:tcPr>
            <w:tcW w:w="9424" w:type="dxa"/>
          </w:tcPr>
          <w:p w14:paraId="629B6DD5" w14:textId="7E766B85" w:rsidR="006B38E1" w:rsidRDefault="006B38E1" w:rsidP="006B38E1">
            <w:r>
              <w:rPr>
                <w:noProof/>
              </w:rPr>
              <w:drawing>
                <wp:inline distT="0" distB="0" distL="0" distR="0" wp14:anchorId="2007C3DB" wp14:editId="64F169D2">
                  <wp:extent cx="1476581" cy="266737"/>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1476581" cy="266737"/>
                          </a:xfrm>
                          <a:prstGeom prst="rect">
                            <a:avLst/>
                          </a:prstGeom>
                        </pic:spPr>
                      </pic:pic>
                    </a:graphicData>
                  </a:graphic>
                </wp:inline>
              </w:drawing>
            </w:r>
          </w:p>
        </w:tc>
      </w:tr>
      <w:tr w:rsidR="006B38E1" w14:paraId="4AC3D0FF" w14:textId="77777777" w:rsidTr="00482073">
        <w:trPr>
          <w:trHeight w:val="942"/>
        </w:trPr>
        <w:tc>
          <w:tcPr>
            <w:tcW w:w="9424" w:type="dxa"/>
          </w:tcPr>
          <w:p w14:paraId="36EAA7DD" w14:textId="0BD59508" w:rsidR="006B38E1" w:rsidRDefault="00482073" w:rsidP="006B38E1">
            <w:r>
              <w:t xml:space="preserve">Figure 1: </w:t>
            </w:r>
            <w:r w:rsidRPr="00482073">
              <w:rPr>
                <w:i/>
                <w:color w:val="FF0000"/>
              </w:rPr>
              <w:t>Site, Address</w:t>
            </w:r>
          </w:p>
          <w:p w14:paraId="1F884B77" w14:textId="77777777" w:rsidR="006B38E1" w:rsidRDefault="006B38E1" w:rsidP="006B38E1"/>
        </w:tc>
      </w:tr>
    </w:tbl>
    <w:p w14:paraId="460721D3" w14:textId="43A9FC0A" w:rsidR="00D51575" w:rsidRPr="006C1E04" w:rsidRDefault="00D51575" w:rsidP="006C1E04">
      <w:pPr>
        <w:rPr>
          <w:i/>
          <w:color w:val="FF0000"/>
        </w:rPr>
      </w:pPr>
    </w:p>
    <w:sectPr w:rsidR="00D51575" w:rsidRPr="006C1E04" w:rsidSect="006341BE">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77358" w14:textId="77777777" w:rsidR="000C45E4" w:rsidRDefault="000C45E4" w:rsidP="005534B1">
      <w:pPr>
        <w:spacing w:after="0" w:line="240" w:lineRule="auto"/>
      </w:pPr>
      <w:r>
        <w:separator/>
      </w:r>
    </w:p>
  </w:endnote>
  <w:endnote w:type="continuationSeparator" w:id="0">
    <w:p w14:paraId="1C3B046D" w14:textId="77777777" w:rsidR="000C45E4" w:rsidRDefault="000C45E4" w:rsidP="0055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975515"/>
      <w:docPartObj>
        <w:docPartGallery w:val="Page Numbers (Bottom of Page)"/>
        <w:docPartUnique/>
      </w:docPartObj>
    </w:sdtPr>
    <w:sdtEndPr>
      <w:rPr>
        <w:noProof/>
      </w:rPr>
    </w:sdtEndPr>
    <w:sdtContent>
      <w:p w14:paraId="5F58076C" w14:textId="7EF3050D" w:rsidR="006341BE" w:rsidRDefault="006341B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7585F02B" w14:textId="77777777" w:rsidR="005534B1" w:rsidRDefault="00553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17201" w14:textId="77777777" w:rsidR="000C45E4" w:rsidRDefault="000C45E4" w:rsidP="005534B1">
      <w:pPr>
        <w:spacing w:after="0" w:line="240" w:lineRule="auto"/>
      </w:pPr>
      <w:r>
        <w:separator/>
      </w:r>
    </w:p>
  </w:footnote>
  <w:footnote w:type="continuationSeparator" w:id="0">
    <w:p w14:paraId="0B3B959B" w14:textId="77777777" w:rsidR="000C45E4" w:rsidRDefault="000C45E4" w:rsidP="00553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D0694"/>
    <w:multiLevelType w:val="hybridMultilevel"/>
    <w:tmpl w:val="6B228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35F14"/>
    <w:multiLevelType w:val="hybridMultilevel"/>
    <w:tmpl w:val="B7F01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61568"/>
    <w:multiLevelType w:val="hybridMultilevel"/>
    <w:tmpl w:val="C10C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87"/>
    <w:rsid w:val="00056CF0"/>
    <w:rsid w:val="00091E6C"/>
    <w:rsid w:val="000956FE"/>
    <w:rsid w:val="000B2A1A"/>
    <w:rsid w:val="000C45E4"/>
    <w:rsid w:val="000E5479"/>
    <w:rsid w:val="001456E1"/>
    <w:rsid w:val="0019620D"/>
    <w:rsid w:val="001C1850"/>
    <w:rsid w:val="001C5D09"/>
    <w:rsid w:val="001F72F8"/>
    <w:rsid w:val="003A472A"/>
    <w:rsid w:val="003B328E"/>
    <w:rsid w:val="003E7C7B"/>
    <w:rsid w:val="00457F58"/>
    <w:rsid w:val="00473A59"/>
    <w:rsid w:val="00482073"/>
    <w:rsid w:val="004C5D15"/>
    <w:rsid w:val="005427A0"/>
    <w:rsid w:val="005534B1"/>
    <w:rsid w:val="00576959"/>
    <w:rsid w:val="005E78D4"/>
    <w:rsid w:val="006341BE"/>
    <w:rsid w:val="00656B73"/>
    <w:rsid w:val="006910C6"/>
    <w:rsid w:val="006B38E1"/>
    <w:rsid w:val="006C1E04"/>
    <w:rsid w:val="006D16D8"/>
    <w:rsid w:val="00737F32"/>
    <w:rsid w:val="00773DE0"/>
    <w:rsid w:val="00797A29"/>
    <w:rsid w:val="007D1901"/>
    <w:rsid w:val="007D74F4"/>
    <w:rsid w:val="007F1D7A"/>
    <w:rsid w:val="00883287"/>
    <w:rsid w:val="008A2B98"/>
    <w:rsid w:val="008C5DF1"/>
    <w:rsid w:val="008D7493"/>
    <w:rsid w:val="009B0012"/>
    <w:rsid w:val="009C0118"/>
    <w:rsid w:val="009D7A0D"/>
    <w:rsid w:val="00A1462C"/>
    <w:rsid w:val="00A436F4"/>
    <w:rsid w:val="00A71D53"/>
    <w:rsid w:val="00B26C8C"/>
    <w:rsid w:val="00B33A65"/>
    <w:rsid w:val="00BC23F5"/>
    <w:rsid w:val="00BE70E5"/>
    <w:rsid w:val="00BF13D8"/>
    <w:rsid w:val="00C030DC"/>
    <w:rsid w:val="00C60C57"/>
    <w:rsid w:val="00CB03FF"/>
    <w:rsid w:val="00CB7F2E"/>
    <w:rsid w:val="00CD7331"/>
    <w:rsid w:val="00D51575"/>
    <w:rsid w:val="00D63689"/>
    <w:rsid w:val="00D85C96"/>
    <w:rsid w:val="00DB0BF1"/>
    <w:rsid w:val="00DD13BC"/>
    <w:rsid w:val="00E24097"/>
    <w:rsid w:val="00E47B65"/>
    <w:rsid w:val="00E537C0"/>
    <w:rsid w:val="00E64399"/>
    <w:rsid w:val="00E91B22"/>
    <w:rsid w:val="00E9428A"/>
    <w:rsid w:val="00EC3277"/>
    <w:rsid w:val="00EE6B1B"/>
    <w:rsid w:val="00F270D8"/>
    <w:rsid w:val="00F81EDC"/>
    <w:rsid w:val="00FB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B46B89"/>
  <w15:chartTrackingRefBased/>
  <w15:docId w15:val="{E47BE443-3A46-4B7F-B586-B6FEEF2E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689"/>
    <w:rPr>
      <w:rFonts w:ascii="Arial" w:hAnsi="Arial"/>
    </w:rPr>
  </w:style>
  <w:style w:type="paragraph" w:styleId="Heading1">
    <w:name w:val="heading 1"/>
    <w:basedOn w:val="Normal"/>
    <w:next w:val="Normal"/>
    <w:link w:val="Heading1Char"/>
    <w:uiPriority w:val="9"/>
    <w:qFormat/>
    <w:rsid w:val="00737F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5D09"/>
    <w:pPr>
      <w:keepNext/>
      <w:keepLines/>
      <w:spacing w:before="40" w:after="0"/>
      <w:outlineLvl w:val="1"/>
    </w:pPr>
    <w:rPr>
      <w:rFonts w:eastAsiaTheme="majorEastAsia" w:cstheme="majorBidi"/>
      <w:color w:val="2F5496"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3689"/>
    <w:pPr>
      <w:spacing w:after="0" w:line="240" w:lineRule="auto"/>
      <w:contextualSpacing/>
    </w:pPr>
    <w:rPr>
      <w:rFonts w:eastAsiaTheme="majorEastAsia" w:cstheme="majorBidi"/>
      <w:spacing w:val="-10"/>
      <w:kern w:val="28"/>
      <w:sz w:val="44"/>
      <w:szCs w:val="56"/>
    </w:rPr>
  </w:style>
  <w:style w:type="character" w:customStyle="1" w:styleId="TitleChar">
    <w:name w:val="Title Char"/>
    <w:basedOn w:val="DefaultParagraphFont"/>
    <w:link w:val="Title"/>
    <w:uiPriority w:val="10"/>
    <w:rsid w:val="00D63689"/>
    <w:rPr>
      <w:rFonts w:ascii="Arial" w:eastAsiaTheme="majorEastAsia" w:hAnsi="Arial" w:cstheme="majorBidi"/>
      <w:spacing w:val="-10"/>
      <w:kern w:val="28"/>
      <w:sz w:val="44"/>
      <w:szCs w:val="56"/>
    </w:rPr>
  </w:style>
  <w:style w:type="character" w:customStyle="1" w:styleId="Heading2Char">
    <w:name w:val="Heading 2 Char"/>
    <w:basedOn w:val="DefaultParagraphFont"/>
    <w:link w:val="Heading2"/>
    <w:uiPriority w:val="9"/>
    <w:rsid w:val="001C5D09"/>
    <w:rPr>
      <w:rFonts w:ascii="Arial" w:eastAsiaTheme="majorEastAsia" w:hAnsi="Arial" w:cstheme="majorBidi"/>
      <w:color w:val="2F5496" w:themeColor="accent1" w:themeShade="BF"/>
      <w:sz w:val="32"/>
      <w:szCs w:val="26"/>
    </w:rPr>
  </w:style>
  <w:style w:type="table" w:styleId="TableGrid">
    <w:name w:val="Table Grid"/>
    <w:basedOn w:val="TableNormal"/>
    <w:uiPriority w:val="39"/>
    <w:rsid w:val="00576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13D8"/>
    <w:rPr>
      <w:color w:val="808080"/>
    </w:rPr>
  </w:style>
  <w:style w:type="character" w:customStyle="1" w:styleId="Heading1Char">
    <w:name w:val="Heading 1 Char"/>
    <w:basedOn w:val="DefaultParagraphFont"/>
    <w:link w:val="Heading1"/>
    <w:uiPriority w:val="9"/>
    <w:rsid w:val="00737F3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9428A"/>
    <w:pPr>
      <w:ind w:left="720"/>
      <w:contextualSpacing/>
    </w:pPr>
  </w:style>
  <w:style w:type="paragraph" w:styleId="NoSpacing">
    <w:name w:val="No Spacing"/>
    <w:uiPriority w:val="1"/>
    <w:qFormat/>
    <w:rsid w:val="005E78D4"/>
    <w:pPr>
      <w:spacing w:after="0" w:line="240" w:lineRule="auto"/>
    </w:pPr>
    <w:rPr>
      <w:rFonts w:ascii="Arial" w:hAnsi="Arial"/>
    </w:rPr>
  </w:style>
  <w:style w:type="paragraph" w:styleId="TOCHeading">
    <w:name w:val="TOC Heading"/>
    <w:basedOn w:val="Heading1"/>
    <w:next w:val="Normal"/>
    <w:uiPriority w:val="39"/>
    <w:unhideWhenUsed/>
    <w:qFormat/>
    <w:rsid w:val="001456E1"/>
    <w:pPr>
      <w:outlineLvl w:val="9"/>
    </w:pPr>
  </w:style>
  <w:style w:type="paragraph" w:styleId="TOC2">
    <w:name w:val="toc 2"/>
    <w:basedOn w:val="Normal"/>
    <w:next w:val="Normal"/>
    <w:autoRedefine/>
    <w:uiPriority w:val="39"/>
    <w:unhideWhenUsed/>
    <w:rsid w:val="001456E1"/>
    <w:pPr>
      <w:spacing w:after="100"/>
      <w:ind w:left="220"/>
    </w:pPr>
  </w:style>
  <w:style w:type="character" w:styleId="Hyperlink">
    <w:name w:val="Hyperlink"/>
    <w:basedOn w:val="DefaultParagraphFont"/>
    <w:uiPriority w:val="99"/>
    <w:unhideWhenUsed/>
    <w:rsid w:val="001456E1"/>
    <w:rPr>
      <w:color w:val="0563C1" w:themeColor="hyperlink"/>
      <w:u w:val="single"/>
    </w:rPr>
  </w:style>
  <w:style w:type="paragraph" w:styleId="Header">
    <w:name w:val="header"/>
    <w:basedOn w:val="Normal"/>
    <w:link w:val="HeaderChar"/>
    <w:uiPriority w:val="99"/>
    <w:unhideWhenUsed/>
    <w:rsid w:val="00553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4B1"/>
    <w:rPr>
      <w:rFonts w:ascii="Arial" w:hAnsi="Arial"/>
    </w:rPr>
  </w:style>
  <w:style w:type="paragraph" w:styleId="Footer">
    <w:name w:val="footer"/>
    <w:basedOn w:val="Normal"/>
    <w:link w:val="FooterChar"/>
    <w:uiPriority w:val="99"/>
    <w:unhideWhenUsed/>
    <w:rsid w:val="00553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4B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88E6D446D84A20A9D4FFF4EBA06651"/>
        <w:category>
          <w:name w:val="General"/>
          <w:gallery w:val="placeholder"/>
        </w:category>
        <w:types>
          <w:type w:val="bbPlcHdr"/>
        </w:types>
        <w:behaviors>
          <w:behavior w:val="content"/>
        </w:behaviors>
        <w:guid w:val="{2AACBE60-D4EC-426E-9E1D-020657242353}"/>
      </w:docPartPr>
      <w:docPartBody>
        <w:p w:rsidR="00D75921" w:rsidRDefault="00161B03" w:rsidP="00161B03">
          <w:pPr>
            <w:pStyle w:val="9D88E6D446D84A20A9D4FFF4EBA066512"/>
          </w:pPr>
          <w:r w:rsidRPr="006910C6">
            <w:rPr>
              <w:rStyle w:val="PlaceholderText"/>
              <w:color w:val="2F5496" w:themeColor="accent1" w:themeShade="BF"/>
              <w:sz w:val="32"/>
              <w:szCs w:val="32"/>
            </w:rPr>
            <w:t>Enter Site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5A"/>
    <w:rsid w:val="00161B03"/>
    <w:rsid w:val="00257DFB"/>
    <w:rsid w:val="004E3A5A"/>
    <w:rsid w:val="008D0347"/>
    <w:rsid w:val="00D75921"/>
    <w:rsid w:val="00E657F6"/>
    <w:rsid w:val="00F52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B03"/>
    <w:rPr>
      <w:color w:val="808080"/>
    </w:rPr>
  </w:style>
  <w:style w:type="paragraph" w:customStyle="1" w:styleId="7208E443013D4646A6A04430AF7613D9">
    <w:name w:val="7208E443013D4646A6A04430AF7613D9"/>
    <w:rsid w:val="004E3A5A"/>
    <w:rPr>
      <w:rFonts w:ascii="Arial" w:eastAsiaTheme="minorHAnsi" w:hAnsi="Arial"/>
    </w:rPr>
  </w:style>
  <w:style w:type="paragraph" w:customStyle="1" w:styleId="7208E443013D4646A6A04430AF7613D91">
    <w:name w:val="7208E443013D4646A6A04430AF7613D91"/>
    <w:rsid w:val="004E3A5A"/>
    <w:rPr>
      <w:rFonts w:ascii="Arial" w:eastAsiaTheme="minorHAnsi" w:hAnsi="Arial"/>
    </w:rPr>
  </w:style>
  <w:style w:type="paragraph" w:customStyle="1" w:styleId="7D6F5B32EE0245829497FAD1DE6B668B">
    <w:name w:val="7D6F5B32EE0245829497FAD1DE6B668B"/>
    <w:rsid w:val="004E3A5A"/>
    <w:rPr>
      <w:rFonts w:ascii="Arial" w:eastAsiaTheme="minorHAnsi" w:hAnsi="Arial"/>
    </w:rPr>
  </w:style>
  <w:style w:type="paragraph" w:customStyle="1" w:styleId="7208E443013D4646A6A04430AF7613D92">
    <w:name w:val="7208E443013D4646A6A04430AF7613D92"/>
    <w:rsid w:val="004E3A5A"/>
    <w:rPr>
      <w:rFonts w:ascii="Arial" w:eastAsiaTheme="minorHAnsi" w:hAnsi="Arial"/>
    </w:rPr>
  </w:style>
  <w:style w:type="paragraph" w:customStyle="1" w:styleId="7D6F5B32EE0245829497FAD1DE6B668B1">
    <w:name w:val="7D6F5B32EE0245829497FAD1DE6B668B1"/>
    <w:rsid w:val="004E3A5A"/>
    <w:rPr>
      <w:rFonts w:ascii="Arial" w:eastAsiaTheme="minorHAnsi" w:hAnsi="Arial"/>
    </w:rPr>
  </w:style>
  <w:style w:type="paragraph" w:customStyle="1" w:styleId="C8AB4CB57A9740C78BDA8BCF154F5537">
    <w:name w:val="C8AB4CB57A9740C78BDA8BCF154F5537"/>
    <w:rsid w:val="004E3A5A"/>
    <w:rPr>
      <w:rFonts w:ascii="Arial" w:eastAsiaTheme="minorHAnsi" w:hAnsi="Arial"/>
    </w:rPr>
  </w:style>
  <w:style w:type="paragraph" w:customStyle="1" w:styleId="9D88E6D446D84A20A9D4FFF4EBA06651">
    <w:name w:val="9D88E6D446D84A20A9D4FFF4EBA06651"/>
    <w:rsid w:val="004E3A5A"/>
    <w:rPr>
      <w:rFonts w:ascii="Arial" w:eastAsiaTheme="minorHAnsi" w:hAnsi="Arial"/>
    </w:rPr>
  </w:style>
  <w:style w:type="paragraph" w:customStyle="1" w:styleId="7208E443013D4646A6A04430AF7613D93">
    <w:name w:val="7208E443013D4646A6A04430AF7613D93"/>
    <w:rsid w:val="004E3A5A"/>
    <w:rPr>
      <w:rFonts w:ascii="Arial" w:eastAsiaTheme="minorHAnsi" w:hAnsi="Arial"/>
    </w:rPr>
  </w:style>
  <w:style w:type="paragraph" w:customStyle="1" w:styleId="7D6F5B32EE0245829497FAD1DE6B668B2">
    <w:name w:val="7D6F5B32EE0245829497FAD1DE6B668B2"/>
    <w:rsid w:val="004E3A5A"/>
    <w:rPr>
      <w:rFonts w:ascii="Arial" w:eastAsiaTheme="minorHAnsi" w:hAnsi="Arial"/>
    </w:rPr>
  </w:style>
  <w:style w:type="paragraph" w:customStyle="1" w:styleId="C8AB4CB57A9740C78BDA8BCF154F55371">
    <w:name w:val="C8AB4CB57A9740C78BDA8BCF154F55371"/>
    <w:rsid w:val="004E3A5A"/>
    <w:rPr>
      <w:rFonts w:ascii="Arial" w:eastAsiaTheme="minorHAnsi" w:hAnsi="Arial"/>
    </w:rPr>
  </w:style>
  <w:style w:type="paragraph" w:customStyle="1" w:styleId="9D88E6D446D84A20A9D4FFF4EBA066511">
    <w:name w:val="9D88E6D446D84A20A9D4FFF4EBA066511"/>
    <w:rsid w:val="004E3A5A"/>
    <w:rPr>
      <w:rFonts w:ascii="Arial" w:eastAsiaTheme="minorHAnsi" w:hAnsi="Arial"/>
    </w:rPr>
  </w:style>
  <w:style w:type="paragraph" w:customStyle="1" w:styleId="7208E443013D4646A6A04430AF7613D94">
    <w:name w:val="7208E443013D4646A6A04430AF7613D94"/>
    <w:rsid w:val="004E3A5A"/>
    <w:rPr>
      <w:rFonts w:ascii="Arial" w:eastAsiaTheme="minorHAnsi" w:hAnsi="Arial"/>
    </w:rPr>
  </w:style>
  <w:style w:type="paragraph" w:customStyle="1" w:styleId="7D6F5B32EE0245829497FAD1DE6B668B3">
    <w:name w:val="7D6F5B32EE0245829497FAD1DE6B668B3"/>
    <w:rsid w:val="004E3A5A"/>
    <w:rPr>
      <w:rFonts w:ascii="Arial" w:eastAsiaTheme="minorHAnsi" w:hAnsi="Arial"/>
    </w:rPr>
  </w:style>
  <w:style w:type="paragraph" w:customStyle="1" w:styleId="C8AB4CB57A9740C78BDA8BCF154F55372">
    <w:name w:val="C8AB4CB57A9740C78BDA8BCF154F55372"/>
    <w:rsid w:val="004E3A5A"/>
    <w:rPr>
      <w:rFonts w:ascii="Arial" w:eastAsiaTheme="minorHAnsi" w:hAnsi="Arial"/>
    </w:rPr>
  </w:style>
  <w:style w:type="paragraph" w:customStyle="1" w:styleId="8C9E1EA7FD4341A5B92810A78461CB54">
    <w:name w:val="8C9E1EA7FD4341A5B92810A78461CB54"/>
    <w:rsid w:val="00161B03"/>
  </w:style>
  <w:style w:type="paragraph" w:customStyle="1" w:styleId="E0A39C1234044C0BBA4E4CB4EF845DB1">
    <w:name w:val="E0A39C1234044C0BBA4E4CB4EF845DB1"/>
    <w:rsid w:val="00161B03"/>
  </w:style>
  <w:style w:type="paragraph" w:customStyle="1" w:styleId="9D88E6D446D84A20A9D4FFF4EBA066512">
    <w:name w:val="9D88E6D446D84A20A9D4FFF4EBA066512"/>
    <w:rsid w:val="00161B03"/>
    <w:rPr>
      <w:rFonts w:ascii="Arial" w:eastAsiaTheme="minorHAnsi" w:hAnsi="Arial"/>
    </w:rPr>
  </w:style>
  <w:style w:type="paragraph" w:customStyle="1" w:styleId="7208E443013D4646A6A04430AF7613D95">
    <w:name w:val="7208E443013D4646A6A04430AF7613D95"/>
    <w:rsid w:val="00161B03"/>
    <w:rPr>
      <w:rFonts w:ascii="Arial" w:eastAsiaTheme="minorHAnsi" w:hAnsi="Arial"/>
    </w:rPr>
  </w:style>
  <w:style w:type="paragraph" w:customStyle="1" w:styleId="7D6F5B32EE0245829497FAD1DE6B668B4">
    <w:name w:val="7D6F5B32EE0245829497FAD1DE6B668B4"/>
    <w:rsid w:val="00161B03"/>
    <w:rPr>
      <w:rFonts w:ascii="Arial" w:eastAsiaTheme="minorHAnsi" w:hAnsi="Arial"/>
    </w:rPr>
  </w:style>
  <w:style w:type="paragraph" w:customStyle="1" w:styleId="8C9E1EA7FD4341A5B92810A78461CB541">
    <w:name w:val="8C9E1EA7FD4341A5B92810A78461CB541"/>
    <w:rsid w:val="00161B03"/>
    <w:rPr>
      <w:rFonts w:ascii="Arial" w:eastAsiaTheme="minorHAnsi" w:hAnsi="Arial"/>
    </w:rPr>
  </w:style>
  <w:style w:type="paragraph" w:customStyle="1" w:styleId="C8AB4CB57A9740C78BDA8BCF154F55373">
    <w:name w:val="C8AB4CB57A9740C78BDA8BCF154F55373"/>
    <w:rsid w:val="00161B03"/>
    <w:rPr>
      <w:rFonts w:ascii="Arial" w:eastAsiaTheme="minorHAnsi" w:hAnsi="Arial"/>
    </w:rPr>
  </w:style>
  <w:style w:type="paragraph" w:customStyle="1" w:styleId="E0A39C1234044C0BBA4E4CB4EF845DB11">
    <w:name w:val="E0A39C1234044C0BBA4E4CB4EF845DB11"/>
    <w:rsid w:val="00161B03"/>
    <w:rPr>
      <w:rFonts w:ascii="Arial" w:eastAsiaTheme="minorHAnsi"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7738C-4475-4453-8D02-A485D6DB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641</Words>
  <Characters>3654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Kristin (DHHS-Contractor)</dc:creator>
  <cp:keywords/>
  <dc:description/>
  <cp:lastModifiedBy>Jodie Shaver</cp:lastModifiedBy>
  <cp:revision>2</cp:revision>
  <dcterms:created xsi:type="dcterms:W3CDTF">2019-01-11T17:34:00Z</dcterms:created>
  <dcterms:modified xsi:type="dcterms:W3CDTF">2019-01-11T17:34:00Z</dcterms:modified>
</cp:coreProperties>
</file>