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416" w:rsidRDefault="00A32B9B" w:rsidP="008E7177">
      <w:pPr>
        <w:ind w:left="180"/>
        <w:rPr>
          <w:rFonts w:asciiTheme="majorHAnsi" w:hAnsiTheme="majorHAnsi" w:cs="Arial"/>
          <w:b/>
          <w:i/>
          <w:color w:val="FF0000"/>
          <w:sz w:val="22"/>
          <w:szCs w:val="22"/>
        </w:rPr>
      </w:pPr>
      <w:r>
        <w:rPr>
          <w:rFonts w:ascii="Cambria" w:hAnsi="Cambria"/>
          <w:noProof/>
        </w:rPr>
        <w:drawing>
          <wp:anchor distT="0" distB="0" distL="114300" distR="114300" simplePos="0" relativeHeight="251661312" behindDoc="1" locked="0" layoutInCell="1" allowOverlap="1" wp14:anchorId="32E43C32" wp14:editId="78E62413">
            <wp:simplePos x="0" y="0"/>
            <wp:positionH relativeFrom="margin">
              <wp:posOffset>4617720</wp:posOffset>
            </wp:positionH>
            <wp:positionV relativeFrom="paragraph">
              <wp:posOffset>-212725</wp:posOffset>
            </wp:positionV>
            <wp:extent cx="2228850" cy="2009775"/>
            <wp:effectExtent l="0" t="0" r="0" b="9525"/>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0977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rsidR="00807416" w:rsidRDefault="00E8117F" w:rsidP="008E7177">
      <w:pPr>
        <w:ind w:left="180"/>
        <w:rPr>
          <w:rFonts w:asciiTheme="majorHAnsi" w:hAnsiTheme="majorHAnsi" w:cs="Arial"/>
          <w:b/>
          <w:i/>
          <w:color w:val="FF0000"/>
          <w:sz w:val="22"/>
          <w:szCs w:val="22"/>
        </w:rPr>
      </w:pPr>
      <w:r>
        <w:rPr>
          <w:rFonts w:asciiTheme="majorHAnsi" w:hAnsiTheme="majorHAnsi" w:cs="Arial"/>
          <w:b/>
          <w:i/>
          <w:noProof/>
          <w:color w:val="FF0000"/>
          <w:sz w:val="22"/>
          <w:szCs w:val="22"/>
        </w:rPr>
        <mc:AlternateContent>
          <mc:Choice Requires="wps">
            <w:drawing>
              <wp:anchor distT="0" distB="0" distL="114300" distR="114300" simplePos="0" relativeHeight="251657216" behindDoc="0" locked="0" layoutInCell="1" allowOverlap="1" wp14:anchorId="08456CA8" wp14:editId="6A661BC1">
                <wp:simplePos x="0" y="0"/>
                <wp:positionH relativeFrom="column">
                  <wp:posOffset>121920</wp:posOffset>
                </wp:positionH>
                <wp:positionV relativeFrom="paragraph">
                  <wp:posOffset>80645</wp:posOffset>
                </wp:positionV>
                <wp:extent cx="4248150" cy="552450"/>
                <wp:effectExtent l="0" t="76200" r="952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552450"/>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C43F8C" w:rsidRPr="00807416" w:rsidRDefault="00C43F8C">
                            <w:pPr>
                              <w:rPr>
                                <w:rFonts w:ascii="Arial" w:hAnsi="Arial" w:cs="Arial"/>
                                <w:b/>
                                <w:sz w:val="56"/>
                                <w:szCs w:val="56"/>
                              </w:rPr>
                            </w:pPr>
                            <w:r w:rsidRPr="00807416">
                              <w:rPr>
                                <w:rFonts w:ascii="Arial" w:hAnsi="Arial" w:cs="Arial"/>
                                <w:b/>
                                <w:sz w:val="56"/>
                                <w:szCs w:val="56"/>
                              </w:rPr>
                              <w:t>Talking Points FY 20</w:t>
                            </w:r>
                            <w:r w:rsidR="00661D8F">
                              <w:rPr>
                                <w:rFonts w:ascii="Arial" w:hAnsi="Arial" w:cs="Arial"/>
                                <w:b/>
                                <w:sz w:val="56"/>
                                <w:szCs w:val="5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56C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9.6pt;margin-top:6.35pt;width:334.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" fillcolor="#95b3d7 [1940]" strokecolor="#95b3d7 [1940]" strokeweight="1pt">
                <v:fill color2="#dbe5f1 [660]" angle="135" focus="50%" type="gradient"/>
                <v:shadow on="t" color="#243f60 [1604]" opacity=".5" offset="6pt,-6pt"/>
                <v:textbox>
                  <w:txbxContent>
                    <w:p w:rsidR="00C43F8C" w:rsidRPr="00807416" w:rsidRDefault="00C43F8C">
                      <w:pPr>
                        <w:rPr>
                          <w:rFonts w:ascii="Arial" w:hAnsi="Arial" w:cs="Arial"/>
                          <w:b/>
                          <w:sz w:val="56"/>
                          <w:szCs w:val="56"/>
                        </w:rPr>
                      </w:pPr>
                      <w:r w:rsidRPr="00807416">
                        <w:rPr>
                          <w:rFonts w:ascii="Arial" w:hAnsi="Arial" w:cs="Arial"/>
                          <w:b/>
                          <w:sz w:val="56"/>
                          <w:szCs w:val="56"/>
                        </w:rPr>
                        <w:t>Talking Points FY 20</w:t>
                      </w:r>
                      <w:r w:rsidR="00661D8F">
                        <w:rPr>
                          <w:rFonts w:ascii="Arial" w:hAnsi="Arial" w:cs="Arial"/>
                          <w:b/>
                          <w:sz w:val="56"/>
                          <w:szCs w:val="56"/>
                        </w:rPr>
                        <w:t>20</w:t>
                      </w:r>
                    </w:p>
                  </w:txbxContent>
                </v:textbox>
              </v:shape>
            </w:pict>
          </mc:Fallback>
        </mc:AlternateContent>
      </w:r>
    </w:p>
    <w:p w:rsidR="00807416" w:rsidRDefault="00807416" w:rsidP="008E7177">
      <w:pPr>
        <w:ind w:left="180"/>
        <w:rPr>
          <w:rFonts w:asciiTheme="majorHAnsi" w:hAnsiTheme="majorHAnsi" w:cs="Arial"/>
          <w:b/>
          <w:i/>
          <w:color w:val="FF0000"/>
          <w:sz w:val="22"/>
          <w:szCs w:val="22"/>
        </w:rPr>
      </w:pPr>
    </w:p>
    <w:p w:rsidR="00807416" w:rsidRDefault="00807416" w:rsidP="008E7177">
      <w:pPr>
        <w:ind w:left="180"/>
        <w:rPr>
          <w:rFonts w:asciiTheme="majorHAnsi" w:hAnsiTheme="majorHAnsi" w:cs="Arial"/>
          <w:b/>
          <w:i/>
          <w:color w:val="FF0000"/>
          <w:sz w:val="22"/>
          <w:szCs w:val="22"/>
        </w:rPr>
      </w:pPr>
    </w:p>
    <w:p w:rsidR="00807416" w:rsidRDefault="00807416" w:rsidP="008E7177">
      <w:pPr>
        <w:ind w:left="180"/>
        <w:rPr>
          <w:rFonts w:asciiTheme="majorHAnsi" w:hAnsiTheme="majorHAnsi" w:cs="Arial"/>
          <w:b/>
          <w:i/>
          <w:color w:val="FF0000"/>
          <w:sz w:val="22"/>
          <w:szCs w:val="22"/>
        </w:rPr>
      </w:pPr>
    </w:p>
    <w:p w:rsidR="00807416" w:rsidRDefault="00807416" w:rsidP="008E7177">
      <w:pPr>
        <w:ind w:left="180"/>
        <w:rPr>
          <w:rFonts w:asciiTheme="majorHAnsi" w:hAnsiTheme="majorHAnsi" w:cs="Arial"/>
          <w:b/>
          <w:i/>
          <w:color w:val="FF0000"/>
          <w:sz w:val="22"/>
          <w:szCs w:val="22"/>
        </w:rPr>
      </w:pPr>
    </w:p>
    <w:p w:rsidR="001A35D2" w:rsidRPr="00302633" w:rsidRDefault="001A35D2" w:rsidP="008E7177">
      <w:pPr>
        <w:ind w:left="180"/>
        <w:rPr>
          <w:rFonts w:asciiTheme="majorHAnsi" w:hAnsiTheme="majorHAnsi" w:cs="Arial"/>
          <w:b/>
          <w:i/>
          <w:color w:val="FF0000"/>
          <w:sz w:val="16"/>
          <w:szCs w:val="16"/>
        </w:rPr>
      </w:pPr>
    </w:p>
    <w:p w:rsidR="008E7177" w:rsidRPr="005D47CD" w:rsidRDefault="001A35D2" w:rsidP="00523805">
      <w:pPr>
        <w:ind w:left="180"/>
        <w:jc w:val="both"/>
        <w:rPr>
          <w:b/>
          <w:i/>
          <w:color w:val="FF0000"/>
          <w:sz w:val="24"/>
          <w:szCs w:val="24"/>
        </w:rPr>
      </w:pPr>
      <w:r w:rsidRPr="005D47CD">
        <w:rPr>
          <w:b/>
          <w:color w:val="000000"/>
          <w:sz w:val="24"/>
          <w:szCs w:val="24"/>
          <w:u w:val="single"/>
        </w:rPr>
        <w:t>Essential Local Public Health Services</w:t>
      </w:r>
      <w:r w:rsidR="00385A30" w:rsidRPr="005D47CD">
        <w:rPr>
          <w:b/>
          <w:color w:val="000000"/>
          <w:sz w:val="24"/>
          <w:szCs w:val="24"/>
          <w:u w:val="single"/>
        </w:rPr>
        <w:t xml:space="preserve"> (ELPHS)</w:t>
      </w:r>
      <w:r w:rsidRPr="005D47CD">
        <w:rPr>
          <w:b/>
          <w:color w:val="000000"/>
          <w:sz w:val="24"/>
          <w:szCs w:val="24"/>
        </w:rPr>
        <w:t>.</w:t>
      </w:r>
      <w:r w:rsidRPr="005D47CD">
        <w:rPr>
          <w:b/>
          <w:i/>
          <w:color w:val="000000"/>
          <w:sz w:val="24"/>
          <w:szCs w:val="24"/>
        </w:rPr>
        <w:t xml:space="preserve">  </w:t>
      </w:r>
      <w:r w:rsidR="008E7177" w:rsidRPr="005D47CD">
        <w:rPr>
          <w:color w:val="000000"/>
          <w:sz w:val="24"/>
          <w:szCs w:val="24"/>
        </w:rPr>
        <w:t>The public health system provides tangible results to Michigan citizens on a daily basis.  Drastic cuts to drinking water safety, immunization capacity, food safety, infectious disease investigation/reporting, sexual</w:t>
      </w:r>
      <w:r w:rsidR="00E24280" w:rsidRPr="005D47CD">
        <w:rPr>
          <w:color w:val="000000"/>
          <w:sz w:val="24"/>
          <w:szCs w:val="24"/>
        </w:rPr>
        <w:t>ly</w:t>
      </w:r>
      <w:r w:rsidR="008E7177" w:rsidRPr="005D47CD">
        <w:rPr>
          <w:color w:val="000000"/>
          <w:sz w:val="24"/>
          <w:szCs w:val="24"/>
        </w:rPr>
        <w:t xml:space="preserve"> transmitted disease control, groundwater safety, and on-site sewage monitoring/control services have occurred in the last two years.</w:t>
      </w:r>
      <w:r w:rsidR="000B2589" w:rsidRPr="005D47CD">
        <w:rPr>
          <w:color w:val="000000"/>
          <w:sz w:val="24"/>
          <w:szCs w:val="24"/>
        </w:rPr>
        <w:t xml:space="preserve">  </w:t>
      </w:r>
      <w:r w:rsidR="00A817BF">
        <w:rPr>
          <w:b/>
          <w:i/>
          <w:color w:val="C00000"/>
          <w:sz w:val="24"/>
          <w:szCs w:val="24"/>
        </w:rPr>
        <w:t xml:space="preserve">However, </w:t>
      </w:r>
      <w:r w:rsidR="00EB084D" w:rsidRPr="005D47CD">
        <w:rPr>
          <w:b/>
          <w:i/>
          <w:color w:val="C00000"/>
          <w:sz w:val="24"/>
          <w:szCs w:val="24"/>
        </w:rPr>
        <w:t>S</w:t>
      </w:r>
      <w:r w:rsidR="008E7177" w:rsidRPr="005D47CD">
        <w:rPr>
          <w:b/>
          <w:i/>
          <w:color w:val="C00000"/>
          <w:sz w:val="24"/>
          <w:szCs w:val="24"/>
        </w:rPr>
        <w:t xml:space="preserve">tate funding levels </w:t>
      </w:r>
      <w:r w:rsidR="009434EA" w:rsidRPr="005D47CD">
        <w:rPr>
          <w:b/>
          <w:i/>
          <w:color w:val="C00000"/>
          <w:sz w:val="24"/>
          <w:szCs w:val="24"/>
        </w:rPr>
        <w:t>are</w:t>
      </w:r>
      <w:r w:rsidR="008E7177" w:rsidRPr="005D47CD">
        <w:rPr>
          <w:b/>
          <w:i/>
          <w:color w:val="C00000"/>
          <w:sz w:val="24"/>
          <w:szCs w:val="24"/>
        </w:rPr>
        <w:t xml:space="preserve"> </w:t>
      </w:r>
      <w:r w:rsidR="001E190E" w:rsidRPr="005D47CD">
        <w:rPr>
          <w:b/>
          <w:i/>
          <w:color w:val="C00000"/>
          <w:sz w:val="24"/>
          <w:szCs w:val="24"/>
        </w:rPr>
        <w:t xml:space="preserve">still </w:t>
      </w:r>
      <w:r w:rsidR="00661D8F">
        <w:rPr>
          <w:b/>
          <w:i/>
          <w:color w:val="C00000"/>
          <w:sz w:val="24"/>
          <w:szCs w:val="24"/>
        </w:rPr>
        <w:t>below the 50/50 cost share as provided for in the Public Health Code</w:t>
      </w:r>
      <w:r w:rsidR="008E7177" w:rsidRPr="005D47CD">
        <w:rPr>
          <w:b/>
          <w:i/>
          <w:color w:val="C00000"/>
          <w:sz w:val="24"/>
          <w:szCs w:val="24"/>
        </w:rPr>
        <w:t>.</w:t>
      </w:r>
      <w:r w:rsidR="001E190E" w:rsidRPr="005D47CD">
        <w:rPr>
          <w:b/>
          <w:i/>
          <w:color w:val="C00000"/>
          <w:sz w:val="24"/>
          <w:szCs w:val="24"/>
        </w:rPr>
        <w:t xml:space="preserve"> </w:t>
      </w:r>
      <w:r w:rsidR="001E190E" w:rsidRPr="005D47CD">
        <w:rPr>
          <w:b/>
          <w:i/>
          <w:color w:val="FF0000"/>
          <w:sz w:val="24"/>
          <w:szCs w:val="24"/>
        </w:rPr>
        <w:t xml:space="preserve"> </w:t>
      </w:r>
    </w:p>
    <w:p w:rsidR="009434EA" w:rsidRPr="005D47CD" w:rsidRDefault="009434EA" w:rsidP="008E7177">
      <w:pPr>
        <w:ind w:left="180"/>
        <w:rPr>
          <w:b/>
          <w:color w:val="000000"/>
          <w:sz w:val="16"/>
          <w:szCs w:val="16"/>
        </w:rPr>
      </w:pPr>
    </w:p>
    <w:p w:rsidR="008E7177" w:rsidRDefault="00C2331B" w:rsidP="00E1650C">
      <w:pPr>
        <w:ind w:left="180"/>
        <w:rPr>
          <w:color w:val="000000"/>
          <w:sz w:val="24"/>
          <w:szCs w:val="24"/>
        </w:rPr>
      </w:pPr>
      <w:r w:rsidRPr="005D47CD">
        <w:rPr>
          <w:b/>
          <w:i/>
          <w:color w:val="000000"/>
          <w:sz w:val="24"/>
          <w:szCs w:val="24"/>
          <w:u w:val="single"/>
        </w:rPr>
        <w:t xml:space="preserve">The </w:t>
      </w:r>
      <w:r w:rsidR="00807416" w:rsidRPr="005D47CD">
        <w:rPr>
          <w:b/>
          <w:i/>
          <w:color w:val="000000"/>
          <w:sz w:val="24"/>
          <w:szCs w:val="24"/>
          <w:u w:val="single"/>
        </w:rPr>
        <w:t>Governor</w:t>
      </w:r>
      <w:r w:rsidRPr="005D47CD">
        <w:rPr>
          <w:color w:val="000000"/>
          <w:sz w:val="24"/>
          <w:szCs w:val="24"/>
        </w:rPr>
        <w:t xml:space="preserve"> </w:t>
      </w:r>
      <w:r w:rsidR="00A817BF">
        <w:rPr>
          <w:color w:val="000000"/>
          <w:sz w:val="24"/>
          <w:szCs w:val="24"/>
        </w:rPr>
        <w:t xml:space="preserve">maintains </w:t>
      </w:r>
      <w:r w:rsidR="00385A30" w:rsidRPr="005D47CD">
        <w:rPr>
          <w:color w:val="000000"/>
          <w:sz w:val="24"/>
          <w:szCs w:val="24"/>
        </w:rPr>
        <w:t>FY 201</w:t>
      </w:r>
      <w:r w:rsidR="00725823">
        <w:rPr>
          <w:color w:val="000000"/>
          <w:sz w:val="24"/>
          <w:szCs w:val="24"/>
        </w:rPr>
        <w:t>9</w:t>
      </w:r>
      <w:r w:rsidR="00385A30" w:rsidRPr="005D47CD">
        <w:rPr>
          <w:color w:val="000000"/>
          <w:sz w:val="24"/>
          <w:szCs w:val="24"/>
        </w:rPr>
        <w:t xml:space="preserve"> funding levels</w:t>
      </w:r>
      <w:r w:rsidR="00760A31">
        <w:rPr>
          <w:color w:val="000000"/>
          <w:sz w:val="24"/>
          <w:szCs w:val="24"/>
        </w:rPr>
        <w:t xml:space="preserve"> for </w:t>
      </w:r>
      <w:r w:rsidR="00845CAA">
        <w:rPr>
          <w:color w:val="000000"/>
          <w:sz w:val="24"/>
          <w:szCs w:val="24"/>
        </w:rPr>
        <w:t>Essential Local Public Health Services through</w:t>
      </w:r>
      <w:r w:rsidR="004F5B38">
        <w:rPr>
          <w:color w:val="000000"/>
          <w:sz w:val="24"/>
          <w:szCs w:val="24"/>
        </w:rPr>
        <w:t xml:space="preserve"> FY 20</w:t>
      </w:r>
      <w:r w:rsidR="00725823">
        <w:rPr>
          <w:color w:val="000000"/>
          <w:sz w:val="24"/>
          <w:szCs w:val="24"/>
        </w:rPr>
        <w:t>20</w:t>
      </w:r>
      <w:r w:rsidR="00385A30" w:rsidRPr="005D47CD">
        <w:rPr>
          <w:color w:val="000000"/>
          <w:sz w:val="24"/>
          <w:szCs w:val="24"/>
        </w:rPr>
        <w:t xml:space="preserve">. </w:t>
      </w:r>
    </w:p>
    <w:p w:rsidR="00576A7D" w:rsidRPr="005D47CD" w:rsidRDefault="00576A7D" w:rsidP="00576A7D">
      <w:pPr>
        <w:pStyle w:val="NoSpacing"/>
        <w:rPr>
          <w:color w:val="000000"/>
          <w:sz w:val="16"/>
          <w:szCs w:val="16"/>
        </w:rPr>
      </w:pPr>
    </w:p>
    <w:p w:rsidR="00A817BF" w:rsidRDefault="00845CAA" w:rsidP="00F712F1">
      <w:pPr>
        <w:pStyle w:val="NoSpacing"/>
        <w:ind w:left="180" w:right="1008"/>
        <w:rPr>
          <w:b/>
          <w:color w:val="C00000"/>
          <w:sz w:val="24"/>
          <w:szCs w:val="24"/>
        </w:rPr>
      </w:pPr>
      <w:r>
        <w:rPr>
          <w:b/>
          <w:color w:val="C00000"/>
          <w:sz w:val="24"/>
          <w:szCs w:val="24"/>
        </w:rPr>
        <w:t xml:space="preserve">FOR YOUR </w:t>
      </w:r>
      <w:r w:rsidR="004F5B38" w:rsidRPr="004F5B38">
        <w:rPr>
          <w:b/>
          <w:color w:val="C00000"/>
          <w:sz w:val="24"/>
          <w:szCs w:val="24"/>
        </w:rPr>
        <w:t>CONSIDERATION</w:t>
      </w:r>
      <w:r>
        <w:rPr>
          <w:b/>
          <w:color w:val="C00000"/>
          <w:sz w:val="24"/>
          <w:szCs w:val="24"/>
        </w:rPr>
        <w:t>:</w:t>
      </w:r>
    </w:p>
    <w:p w:rsidR="00833BC0" w:rsidRDefault="00833BC0" w:rsidP="00F712F1">
      <w:pPr>
        <w:pStyle w:val="NoSpacing"/>
        <w:ind w:left="180" w:right="1008"/>
        <w:rPr>
          <w:b/>
          <w:color w:val="000000"/>
          <w:sz w:val="24"/>
          <w:szCs w:val="24"/>
        </w:rPr>
      </w:pPr>
    </w:p>
    <w:p w:rsidR="00A817BF" w:rsidRPr="00845CAA" w:rsidRDefault="00A817BF" w:rsidP="00E25636">
      <w:pPr>
        <w:ind w:left="180"/>
        <w:jc w:val="both"/>
        <w:rPr>
          <w:b/>
          <w:i/>
          <w:sz w:val="24"/>
          <w:szCs w:val="24"/>
        </w:rPr>
      </w:pPr>
      <w:r>
        <w:rPr>
          <w:b/>
          <w:sz w:val="24"/>
          <w:szCs w:val="24"/>
        </w:rPr>
        <w:t xml:space="preserve">Sustainable </w:t>
      </w:r>
      <w:r w:rsidRPr="00A817BF">
        <w:rPr>
          <w:b/>
          <w:sz w:val="24"/>
          <w:szCs w:val="24"/>
        </w:rPr>
        <w:t xml:space="preserve">Funding </w:t>
      </w:r>
      <w:r>
        <w:rPr>
          <w:b/>
          <w:sz w:val="24"/>
          <w:szCs w:val="24"/>
        </w:rPr>
        <w:t xml:space="preserve">at the </w:t>
      </w:r>
      <w:r w:rsidRPr="00A817BF">
        <w:rPr>
          <w:b/>
          <w:sz w:val="24"/>
          <w:szCs w:val="24"/>
        </w:rPr>
        <w:t>Consumer Price Index</w:t>
      </w:r>
      <w:r>
        <w:rPr>
          <w:b/>
          <w:sz w:val="24"/>
          <w:szCs w:val="24"/>
        </w:rPr>
        <w:t xml:space="preserve"> </w:t>
      </w:r>
      <w:r w:rsidR="00523805">
        <w:rPr>
          <w:b/>
          <w:sz w:val="24"/>
          <w:szCs w:val="24"/>
        </w:rPr>
        <w:t>R</w:t>
      </w:r>
      <w:r>
        <w:rPr>
          <w:b/>
          <w:sz w:val="24"/>
          <w:szCs w:val="24"/>
        </w:rPr>
        <w:t>ate (</w:t>
      </w:r>
      <w:proofErr w:type="spellStart"/>
      <w:r>
        <w:rPr>
          <w:b/>
          <w:sz w:val="24"/>
          <w:szCs w:val="24"/>
        </w:rPr>
        <w:t>Headlee</w:t>
      </w:r>
      <w:proofErr w:type="spellEnd"/>
      <w:r>
        <w:rPr>
          <w:b/>
          <w:sz w:val="24"/>
          <w:szCs w:val="24"/>
        </w:rPr>
        <w:t>)</w:t>
      </w:r>
      <w:r w:rsidRPr="00A817BF">
        <w:rPr>
          <w:b/>
          <w:sz w:val="24"/>
          <w:szCs w:val="24"/>
        </w:rPr>
        <w:t xml:space="preserve">:  </w:t>
      </w:r>
      <w:r w:rsidR="00FE4716">
        <w:rPr>
          <w:sz w:val="24"/>
          <w:szCs w:val="24"/>
        </w:rPr>
        <w:t>If the State will not fund ELPHS at the 50/50 cost share rate</w:t>
      </w:r>
      <w:r w:rsidRPr="00A817BF">
        <w:rPr>
          <w:sz w:val="24"/>
          <w:szCs w:val="24"/>
        </w:rPr>
        <w:t xml:space="preserve">, we are requesting that local public health have sustainable increases that are commensurate with the </w:t>
      </w:r>
      <w:proofErr w:type="spellStart"/>
      <w:r w:rsidRPr="00A817BF">
        <w:rPr>
          <w:sz w:val="24"/>
          <w:szCs w:val="24"/>
        </w:rPr>
        <w:t>Headlee</w:t>
      </w:r>
      <w:proofErr w:type="spellEnd"/>
      <w:r w:rsidRPr="00A817BF">
        <w:rPr>
          <w:sz w:val="24"/>
          <w:szCs w:val="24"/>
        </w:rPr>
        <w:t xml:space="preserve"> Amendment or </w:t>
      </w:r>
      <w:r>
        <w:rPr>
          <w:sz w:val="24"/>
          <w:szCs w:val="24"/>
        </w:rPr>
        <w:t>the</w:t>
      </w:r>
      <w:r w:rsidRPr="00A817BF">
        <w:rPr>
          <w:sz w:val="24"/>
          <w:szCs w:val="24"/>
        </w:rPr>
        <w:t xml:space="preserve"> Consumer’s Price Index rate.  This eliminates year after year of uncertainty </w:t>
      </w:r>
      <w:proofErr w:type="gramStart"/>
      <w:r w:rsidRPr="00A817BF">
        <w:rPr>
          <w:sz w:val="24"/>
          <w:szCs w:val="24"/>
        </w:rPr>
        <w:t>with regard to</w:t>
      </w:r>
      <w:proofErr w:type="gramEnd"/>
      <w:r w:rsidRPr="00A817BF">
        <w:rPr>
          <w:sz w:val="24"/>
          <w:szCs w:val="24"/>
        </w:rPr>
        <w:t xml:space="preserve"> funding </w:t>
      </w:r>
      <w:r w:rsidR="0033205C" w:rsidRPr="00A817BF">
        <w:rPr>
          <w:sz w:val="24"/>
          <w:szCs w:val="24"/>
        </w:rPr>
        <w:t>levels</w:t>
      </w:r>
      <w:r w:rsidR="0033205C">
        <w:rPr>
          <w:sz w:val="24"/>
          <w:szCs w:val="24"/>
        </w:rPr>
        <w:t xml:space="preserve"> and</w:t>
      </w:r>
      <w:r w:rsidR="001F4ABB">
        <w:rPr>
          <w:sz w:val="24"/>
          <w:szCs w:val="24"/>
        </w:rPr>
        <w:t xml:space="preserve"> lea</w:t>
      </w:r>
      <w:r w:rsidR="00523805">
        <w:rPr>
          <w:sz w:val="24"/>
          <w:szCs w:val="24"/>
        </w:rPr>
        <w:t xml:space="preserve">ds to </w:t>
      </w:r>
      <w:r w:rsidR="001F4ABB">
        <w:rPr>
          <w:sz w:val="24"/>
          <w:szCs w:val="24"/>
        </w:rPr>
        <w:t xml:space="preserve">planned </w:t>
      </w:r>
      <w:r w:rsidR="00523805">
        <w:rPr>
          <w:sz w:val="24"/>
          <w:szCs w:val="24"/>
        </w:rPr>
        <w:t>budgeting for local health departments and the State</w:t>
      </w:r>
      <w:r w:rsidR="001F4ABB">
        <w:rPr>
          <w:sz w:val="24"/>
          <w:szCs w:val="24"/>
        </w:rPr>
        <w:t xml:space="preserve"> of Michigan</w:t>
      </w:r>
      <w:r w:rsidR="00523805">
        <w:rPr>
          <w:sz w:val="24"/>
          <w:szCs w:val="24"/>
        </w:rPr>
        <w:t xml:space="preserve">. </w:t>
      </w:r>
      <w:r w:rsidRPr="00A817BF">
        <w:rPr>
          <w:sz w:val="24"/>
          <w:szCs w:val="24"/>
        </w:rPr>
        <w:t xml:space="preserve">The cost of service delivery goes up each year including, but not limited to, transportation, operations, equipment, staffing, supplies, etc.  </w:t>
      </w:r>
      <w:r w:rsidR="00845CAA" w:rsidRPr="00845CAA">
        <w:rPr>
          <w:b/>
          <w:i/>
          <w:sz w:val="24"/>
          <w:szCs w:val="24"/>
        </w:rPr>
        <w:t>How can we facilitate the conversation to ensure local public health is funded according to the Consumer Price Index?</w:t>
      </w:r>
    </w:p>
    <w:p w:rsidR="00A817BF" w:rsidRDefault="00A817BF" w:rsidP="00A817BF">
      <w:pPr>
        <w:pStyle w:val="NoSpacing"/>
        <w:ind w:right="1008"/>
        <w:rPr>
          <w:b/>
          <w:color w:val="000000"/>
          <w:sz w:val="24"/>
          <w:szCs w:val="24"/>
        </w:rPr>
      </w:pPr>
    </w:p>
    <w:p w:rsidR="0097240B" w:rsidRPr="00845CAA" w:rsidRDefault="0097240B" w:rsidP="0097240B">
      <w:pPr>
        <w:ind w:left="180"/>
        <w:jc w:val="both"/>
        <w:rPr>
          <w:bCs/>
          <w:sz w:val="24"/>
          <w:szCs w:val="24"/>
        </w:rPr>
      </w:pPr>
      <w:r w:rsidRPr="00845CAA">
        <w:rPr>
          <w:b/>
          <w:color w:val="C00000"/>
          <w:sz w:val="24"/>
          <w:szCs w:val="24"/>
        </w:rPr>
        <w:t>SUPPORT</w:t>
      </w:r>
      <w:r w:rsidRPr="00845CAA">
        <w:rPr>
          <w:b/>
          <w:color w:val="000000"/>
          <w:sz w:val="24"/>
          <w:szCs w:val="24"/>
        </w:rPr>
        <w:t xml:space="preserve"> </w:t>
      </w:r>
      <w:r w:rsidRPr="00845CAA">
        <w:rPr>
          <w:b/>
          <w:sz w:val="24"/>
          <w:szCs w:val="24"/>
        </w:rPr>
        <w:t>the Governor on</w:t>
      </w:r>
      <w:r w:rsidRPr="00845CAA">
        <w:rPr>
          <w:sz w:val="24"/>
          <w:szCs w:val="24"/>
        </w:rPr>
        <w:t xml:space="preserve"> </w:t>
      </w:r>
      <w:r w:rsidR="00845CAA" w:rsidRPr="00845CAA">
        <w:rPr>
          <w:b/>
          <w:sz w:val="24"/>
          <w:szCs w:val="24"/>
        </w:rPr>
        <w:t>Drinking Water Compliance Assistance Unit ($1.9M)</w:t>
      </w:r>
      <w:r w:rsidRPr="00845CAA">
        <w:rPr>
          <w:sz w:val="24"/>
          <w:szCs w:val="24"/>
        </w:rPr>
        <w:t xml:space="preserve">. </w:t>
      </w:r>
      <w:r w:rsidR="00845CAA" w:rsidRPr="00845CAA">
        <w:rPr>
          <w:sz w:val="24"/>
          <w:szCs w:val="24"/>
        </w:rPr>
        <w:t>This provides for technical expertise to better safeguard Michigan residents from lead in their drinking water.</w:t>
      </w:r>
      <w:r w:rsidRPr="00845CAA">
        <w:rPr>
          <w:sz w:val="24"/>
          <w:szCs w:val="24"/>
        </w:rPr>
        <w:t xml:space="preserve">  </w:t>
      </w:r>
    </w:p>
    <w:p w:rsidR="0097240B" w:rsidRPr="00845CAA" w:rsidRDefault="0097240B" w:rsidP="009D2BA3">
      <w:pPr>
        <w:ind w:left="180"/>
        <w:jc w:val="both"/>
        <w:rPr>
          <w:b/>
          <w:color w:val="C00000"/>
          <w:sz w:val="24"/>
          <w:szCs w:val="24"/>
        </w:rPr>
      </w:pPr>
    </w:p>
    <w:p w:rsidR="00FE4716" w:rsidRPr="00845CAA" w:rsidRDefault="00DC266B" w:rsidP="009D2BA3">
      <w:pPr>
        <w:ind w:left="180"/>
        <w:jc w:val="both"/>
        <w:rPr>
          <w:sz w:val="24"/>
          <w:szCs w:val="24"/>
        </w:rPr>
      </w:pPr>
      <w:r w:rsidRPr="00845CAA">
        <w:rPr>
          <w:b/>
          <w:color w:val="C00000"/>
          <w:sz w:val="24"/>
          <w:szCs w:val="24"/>
        </w:rPr>
        <w:t>SUPPORT</w:t>
      </w:r>
      <w:r w:rsidRPr="00845CAA">
        <w:rPr>
          <w:b/>
          <w:sz w:val="24"/>
          <w:szCs w:val="24"/>
        </w:rPr>
        <w:t xml:space="preserve"> </w:t>
      </w:r>
      <w:r w:rsidR="001E190E" w:rsidRPr="00845CAA">
        <w:rPr>
          <w:b/>
          <w:sz w:val="24"/>
          <w:szCs w:val="24"/>
        </w:rPr>
        <w:t xml:space="preserve">the Governor on </w:t>
      </w:r>
      <w:r w:rsidR="00845CAA" w:rsidRPr="00845CAA">
        <w:rPr>
          <w:b/>
          <w:sz w:val="24"/>
          <w:szCs w:val="24"/>
        </w:rPr>
        <w:t>School Hydration Stations ($60M).</w:t>
      </w:r>
      <w:r w:rsidR="00845CAA" w:rsidRPr="00845CAA">
        <w:rPr>
          <w:sz w:val="24"/>
          <w:szCs w:val="24"/>
        </w:rPr>
        <w:t xml:space="preserve">  We know that equipment in schools have failed lead tests.  Replacing lead plumbing and fixtures will go a long way to ensure children are getting safe drinking water while at school.</w:t>
      </w:r>
    </w:p>
    <w:p w:rsidR="00926599" w:rsidRDefault="00926599" w:rsidP="001E190E">
      <w:pPr>
        <w:ind w:left="180"/>
        <w:rPr>
          <w:b/>
          <w:sz w:val="24"/>
          <w:szCs w:val="24"/>
          <w:highlight w:val="yellow"/>
        </w:rPr>
      </w:pPr>
    </w:p>
    <w:p w:rsidR="00412ED0" w:rsidRDefault="00412ED0" w:rsidP="001E190E">
      <w:pPr>
        <w:ind w:left="180"/>
        <w:rPr>
          <w:sz w:val="24"/>
          <w:szCs w:val="24"/>
        </w:rPr>
      </w:pPr>
      <w:r w:rsidRPr="00412ED0">
        <w:rPr>
          <w:b/>
          <w:color w:val="C00000"/>
          <w:sz w:val="24"/>
          <w:szCs w:val="24"/>
        </w:rPr>
        <w:t>SUPPORT</w:t>
      </w:r>
      <w:r>
        <w:rPr>
          <w:sz w:val="24"/>
          <w:szCs w:val="24"/>
        </w:rPr>
        <w:t xml:space="preserve"> </w:t>
      </w:r>
      <w:r>
        <w:rPr>
          <w:b/>
          <w:sz w:val="24"/>
          <w:szCs w:val="24"/>
        </w:rPr>
        <w:t xml:space="preserve">the Governor on Drinking Water Grant/Innovation ($120M).  </w:t>
      </w:r>
      <w:r w:rsidRPr="00412ED0">
        <w:rPr>
          <w:sz w:val="24"/>
          <w:szCs w:val="24"/>
        </w:rPr>
        <w:t>This</w:t>
      </w:r>
      <w:r>
        <w:rPr>
          <w:b/>
          <w:sz w:val="24"/>
          <w:szCs w:val="24"/>
        </w:rPr>
        <w:t xml:space="preserve"> </w:t>
      </w:r>
      <w:r w:rsidRPr="00412ED0">
        <w:rPr>
          <w:sz w:val="24"/>
          <w:szCs w:val="24"/>
        </w:rPr>
        <w:t>initiative</w:t>
      </w:r>
      <w:r>
        <w:rPr>
          <w:sz w:val="24"/>
          <w:szCs w:val="24"/>
        </w:rPr>
        <w:t xml:space="preserve"> </w:t>
      </w:r>
      <w:r w:rsidR="001F409E">
        <w:rPr>
          <w:sz w:val="24"/>
          <w:szCs w:val="24"/>
        </w:rPr>
        <w:t>supports funding for the Lead and Copper Rule implementation, and PFAS and emerging contaminate identification, treatment, and clean up.</w:t>
      </w:r>
    </w:p>
    <w:p w:rsidR="001F409E" w:rsidRDefault="001F409E" w:rsidP="001E190E">
      <w:pPr>
        <w:ind w:left="180"/>
        <w:rPr>
          <w:b/>
          <w:sz w:val="24"/>
          <w:szCs w:val="24"/>
        </w:rPr>
      </w:pPr>
    </w:p>
    <w:p w:rsidR="001F409E" w:rsidRPr="001F409E" w:rsidRDefault="001F409E" w:rsidP="001E190E">
      <w:pPr>
        <w:ind w:left="180"/>
        <w:rPr>
          <w:b/>
          <w:sz w:val="24"/>
          <w:szCs w:val="24"/>
        </w:rPr>
      </w:pPr>
      <w:r w:rsidRPr="001F409E">
        <w:rPr>
          <w:b/>
          <w:color w:val="C00000"/>
          <w:sz w:val="24"/>
          <w:szCs w:val="24"/>
        </w:rPr>
        <w:t>SUPPORT</w:t>
      </w:r>
      <w:r>
        <w:rPr>
          <w:sz w:val="24"/>
          <w:szCs w:val="24"/>
        </w:rPr>
        <w:t xml:space="preserve"> </w:t>
      </w:r>
      <w:r w:rsidRPr="001F409E">
        <w:rPr>
          <w:b/>
          <w:sz w:val="24"/>
          <w:szCs w:val="24"/>
        </w:rPr>
        <w:t xml:space="preserve">the Governor on Enhancing Monitoring of and Response to Environmental and Public Health Hazards ($13.9M).  </w:t>
      </w:r>
    </w:p>
    <w:p w:rsidR="00412ED0" w:rsidRPr="00F0632F" w:rsidRDefault="00412ED0" w:rsidP="001E190E">
      <w:pPr>
        <w:ind w:left="180"/>
        <w:rPr>
          <w:b/>
          <w:sz w:val="24"/>
          <w:szCs w:val="24"/>
          <w:highlight w:val="yellow"/>
        </w:rPr>
      </w:pPr>
    </w:p>
    <w:p w:rsidR="00B736CF" w:rsidRDefault="00B736CF" w:rsidP="009D2BA3">
      <w:pPr>
        <w:ind w:left="180"/>
        <w:jc w:val="both"/>
        <w:rPr>
          <w:color w:val="000000"/>
          <w:sz w:val="24"/>
          <w:szCs w:val="24"/>
          <w:shd w:val="clear" w:color="auto" w:fill="FFFFFF"/>
        </w:rPr>
      </w:pPr>
      <w:r w:rsidRPr="00412ED0">
        <w:rPr>
          <w:b/>
          <w:color w:val="C00000"/>
          <w:sz w:val="24"/>
          <w:szCs w:val="24"/>
          <w:shd w:val="clear" w:color="auto" w:fill="FFFFFF"/>
        </w:rPr>
        <w:t xml:space="preserve">SUPPORT </w:t>
      </w:r>
      <w:r w:rsidR="00412ED0" w:rsidRPr="00412ED0">
        <w:rPr>
          <w:b/>
          <w:sz w:val="24"/>
          <w:szCs w:val="24"/>
          <w:shd w:val="clear" w:color="auto" w:fill="FFFFFF"/>
        </w:rPr>
        <w:t>Local Government R</w:t>
      </w:r>
      <w:r w:rsidRPr="00412ED0">
        <w:rPr>
          <w:b/>
          <w:sz w:val="24"/>
          <w:szCs w:val="24"/>
          <w:shd w:val="clear" w:color="auto" w:fill="FFFFFF"/>
        </w:rPr>
        <w:t xml:space="preserve">evenue </w:t>
      </w:r>
      <w:r w:rsidR="00412ED0" w:rsidRPr="00412ED0">
        <w:rPr>
          <w:b/>
          <w:sz w:val="24"/>
          <w:szCs w:val="24"/>
          <w:shd w:val="clear" w:color="auto" w:fill="FFFFFF"/>
        </w:rPr>
        <w:t>S</w:t>
      </w:r>
      <w:r w:rsidRPr="00412ED0">
        <w:rPr>
          <w:b/>
          <w:color w:val="000000"/>
          <w:sz w:val="24"/>
          <w:szCs w:val="24"/>
          <w:shd w:val="clear" w:color="auto" w:fill="FFFFFF"/>
        </w:rPr>
        <w:t>haring</w:t>
      </w:r>
      <w:r w:rsidR="00412ED0" w:rsidRPr="00412ED0">
        <w:rPr>
          <w:b/>
          <w:color w:val="000000"/>
          <w:sz w:val="24"/>
          <w:szCs w:val="24"/>
          <w:shd w:val="clear" w:color="auto" w:fill="FFFFFF"/>
        </w:rPr>
        <w:t xml:space="preserve"> ($41.8)</w:t>
      </w:r>
      <w:r w:rsidRPr="00412ED0">
        <w:rPr>
          <w:b/>
          <w:color w:val="000000"/>
          <w:sz w:val="24"/>
          <w:szCs w:val="24"/>
          <w:shd w:val="clear" w:color="auto" w:fill="FFFFFF"/>
        </w:rPr>
        <w:t xml:space="preserve">.  </w:t>
      </w:r>
      <w:r w:rsidR="00833BC0" w:rsidRPr="00412ED0">
        <w:rPr>
          <w:color w:val="000000"/>
          <w:sz w:val="24"/>
          <w:szCs w:val="24"/>
          <w:shd w:val="clear" w:color="auto" w:fill="FFFFFF"/>
        </w:rPr>
        <w:t>We support full funding and constitutional protection for county revenue sharing.  We support a more secure and reliable funding mechanism and an equitable distribution system for county revenue sharing.</w:t>
      </w:r>
    </w:p>
    <w:p w:rsidR="001F409E" w:rsidRPr="005D47CD" w:rsidRDefault="001F409E" w:rsidP="009D2BA3">
      <w:pPr>
        <w:ind w:left="180"/>
        <w:jc w:val="both"/>
        <w:rPr>
          <w:color w:val="000000"/>
          <w:sz w:val="24"/>
          <w:szCs w:val="24"/>
          <w:shd w:val="clear" w:color="auto" w:fill="FFFFFF"/>
        </w:rPr>
      </w:pPr>
    </w:p>
    <w:p w:rsidR="001F409E" w:rsidRPr="00F67A05" w:rsidRDefault="001F409E" w:rsidP="001F409E">
      <w:pPr>
        <w:ind w:left="180"/>
        <w:jc w:val="both"/>
        <w:rPr>
          <w:sz w:val="24"/>
          <w:szCs w:val="24"/>
        </w:rPr>
      </w:pPr>
      <w:r w:rsidRPr="00F67A05">
        <w:rPr>
          <w:b/>
          <w:color w:val="C00000"/>
          <w:sz w:val="24"/>
          <w:szCs w:val="24"/>
        </w:rPr>
        <w:t>SUPPORT</w:t>
      </w:r>
      <w:r w:rsidRPr="00F67A05">
        <w:rPr>
          <w:color w:val="C00000"/>
          <w:sz w:val="24"/>
          <w:szCs w:val="24"/>
        </w:rPr>
        <w:t xml:space="preserve"> </w:t>
      </w:r>
      <w:r w:rsidRPr="00F67A05">
        <w:rPr>
          <w:sz w:val="24"/>
          <w:szCs w:val="24"/>
        </w:rPr>
        <w:t xml:space="preserve">the recommendations of the </w:t>
      </w:r>
      <w:r w:rsidRPr="00F67A05">
        <w:rPr>
          <w:b/>
          <w:sz w:val="24"/>
          <w:szCs w:val="24"/>
        </w:rPr>
        <w:t>Public Health Advisory Council</w:t>
      </w:r>
      <w:r w:rsidRPr="00F67A05">
        <w:rPr>
          <w:sz w:val="24"/>
          <w:szCs w:val="24"/>
        </w:rPr>
        <w:t xml:space="preserve"> including continuing and expanding collaboration locally and between state departments, investing in Michigan’s public health system, specifically that of local public health departments as “boots on the ground” stakeholders, to study issues, problems, and programs to make recommendations from a perspective of health (Health in All Policies).</w:t>
      </w:r>
    </w:p>
    <w:p w:rsidR="009D2BA3" w:rsidRDefault="009D2BA3" w:rsidP="009D2BA3">
      <w:pPr>
        <w:rPr>
          <w:sz w:val="24"/>
          <w:szCs w:val="24"/>
        </w:rPr>
      </w:pPr>
    </w:p>
    <w:sectPr w:rsidR="009D2BA3" w:rsidSect="008E7177">
      <w:headerReference w:type="default" r:id="rId9"/>
      <w:footerReference w:type="default" r:id="rId10"/>
      <w:pgSz w:w="12240" w:h="15840" w:code="1"/>
      <w:pgMar w:top="0" w:right="1008" w:bottom="360" w:left="1008" w:header="36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F8C" w:rsidRDefault="00C43F8C">
      <w:r>
        <w:separator/>
      </w:r>
    </w:p>
  </w:endnote>
  <w:endnote w:type="continuationSeparator" w:id="0">
    <w:p w:rsidR="00C43F8C" w:rsidRDefault="00C4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F8C" w:rsidRDefault="00E1650C">
    <w:pPr>
      <w:pStyle w:val="Footer"/>
    </w:pPr>
    <w:r>
      <w:rPr>
        <w:noProof/>
      </w:rPr>
      <mc:AlternateContent>
        <mc:Choice Requires="wps">
          <w:drawing>
            <wp:anchor distT="0" distB="0" distL="114300" distR="114300" simplePos="0" relativeHeight="251656192" behindDoc="0" locked="0" layoutInCell="0" allowOverlap="1" wp14:anchorId="5B6407ED" wp14:editId="2791027D">
              <wp:simplePos x="0" y="0"/>
              <wp:positionH relativeFrom="column">
                <wp:posOffset>74295</wp:posOffset>
              </wp:positionH>
              <wp:positionV relativeFrom="paragraph">
                <wp:posOffset>72390</wp:posOffset>
              </wp:positionV>
              <wp:extent cx="6419850" cy="0"/>
              <wp:effectExtent l="7620" t="5715" r="1143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981F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7pt" to="51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jO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M8W8y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" o:allowincell="f"/>
          </w:pict>
        </mc:Fallback>
      </mc:AlternateContent>
    </w:r>
  </w:p>
  <w:p w:rsidR="00C43F8C" w:rsidRDefault="00C43F8C">
    <w:pPr>
      <w:pStyle w:val="Footer"/>
      <w:jc w:val="right"/>
    </w:pPr>
    <w:r>
      <w:t xml:space="preserve">P.O. Box 13276 * Lansing, Michigan  48901* </w:t>
    </w:r>
    <w:r w:rsidRPr="00105E43">
      <w:t>www.malph.org</w:t>
    </w:r>
    <w:r>
      <w:t xml:space="preserve"> </w:t>
    </w:r>
  </w:p>
  <w:p w:rsidR="00C43F8C" w:rsidRDefault="00C43F8C" w:rsidP="00BC1D91">
    <w:pPr>
      <w:pStyle w:val="Footer"/>
      <w:jc w:val="right"/>
    </w:pPr>
    <w:r>
      <w:t>426 South Walnut * Lansing, Michigan 48933 * (517) 485-0660 * (517) 485-6412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F8C" w:rsidRDefault="00C43F8C">
      <w:r>
        <w:separator/>
      </w:r>
    </w:p>
  </w:footnote>
  <w:footnote w:type="continuationSeparator" w:id="0">
    <w:p w:rsidR="00C43F8C" w:rsidRDefault="00C43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F8C" w:rsidRDefault="00C43F8C"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2B5DDA"/>
    <w:multiLevelType w:val="hybridMultilevel"/>
    <w:tmpl w:val="69D0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8896733"/>
    <w:multiLevelType w:val="hybridMultilevel"/>
    <w:tmpl w:val="DE04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A41D59"/>
    <w:multiLevelType w:val="hybridMultilevel"/>
    <w:tmpl w:val="6B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35D69A4"/>
    <w:multiLevelType w:val="hybridMultilevel"/>
    <w:tmpl w:val="CBDC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06824"/>
    <w:multiLevelType w:val="hybridMultilevel"/>
    <w:tmpl w:val="DB6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179D1"/>
    <w:multiLevelType w:val="hybridMultilevel"/>
    <w:tmpl w:val="AED2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743306"/>
    <w:multiLevelType w:val="multilevel"/>
    <w:tmpl w:val="39E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0453A"/>
    <w:multiLevelType w:val="hybridMultilevel"/>
    <w:tmpl w:val="F8F0D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05B94"/>
    <w:multiLevelType w:val="hybridMultilevel"/>
    <w:tmpl w:val="21A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num>
  <w:num w:numId="6">
    <w:abstractNumId w:val="11"/>
  </w:num>
  <w:num w:numId="7">
    <w:abstractNumId w:val="4"/>
  </w:num>
  <w:num w:numId="8">
    <w:abstractNumId w:val="2"/>
  </w:num>
  <w:num w:numId="9">
    <w:abstractNumId w:val="12"/>
  </w:num>
  <w:num w:numId="10">
    <w:abstractNumId w:val="7"/>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107C2"/>
    <w:rsid w:val="00013214"/>
    <w:rsid w:val="00017DA6"/>
    <w:rsid w:val="0002014E"/>
    <w:rsid w:val="00036C5C"/>
    <w:rsid w:val="00036F23"/>
    <w:rsid w:val="00060799"/>
    <w:rsid w:val="000664E8"/>
    <w:rsid w:val="00072DDA"/>
    <w:rsid w:val="000A114E"/>
    <w:rsid w:val="000A159F"/>
    <w:rsid w:val="000B0076"/>
    <w:rsid w:val="000B2589"/>
    <w:rsid w:val="000B41F6"/>
    <w:rsid w:val="000D012F"/>
    <w:rsid w:val="000E52D5"/>
    <w:rsid w:val="00105E43"/>
    <w:rsid w:val="001130DD"/>
    <w:rsid w:val="001332BB"/>
    <w:rsid w:val="00133393"/>
    <w:rsid w:val="00154CE1"/>
    <w:rsid w:val="00161086"/>
    <w:rsid w:val="00182E22"/>
    <w:rsid w:val="00193B3F"/>
    <w:rsid w:val="00197976"/>
    <w:rsid w:val="001A35D2"/>
    <w:rsid w:val="001B0AB8"/>
    <w:rsid w:val="001C2CDD"/>
    <w:rsid w:val="001C4D04"/>
    <w:rsid w:val="001E190E"/>
    <w:rsid w:val="001E718C"/>
    <w:rsid w:val="001F2E02"/>
    <w:rsid w:val="001F409E"/>
    <w:rsid w:val="001F4ABB"/>
    <w:rsid w:val="0020525E"/>
    <w:rsid w:val="00206358"/>
    <w:rsid w:val="00225F13"/>
    <w:rsid w:val="002300B2"/>
    <w:rsid w:val="00231107"/>
    <w:rsid w:val="002429C4"/>
    <w:rsid w:val="00250B5D"/>
    <w:rsid w:val="0028025E"/>
    <w:rsid w:val="002865D7"/>
    <w:rsid w:val="002933C2"/>
    <w:rsid w:val="002955A4"/>
    <w:rsid w:val="002A291D"/>
    <w:rsid w:val="002C5F81"/>
    <w:rsid w:val="002E1CCC"/>
    <w:rsid w:val="002E5A22"/>
    <w:rsid w:val="002F5301"/>
    <w:rsid w:val="00302633"/>
    <w:rsid w:val="0030409B"/>
    <w:rsid w:val="00330E1F"/>
    <w:rsid w:val="0033205C"/>
    <w:rsid w:val="0034719A"/>
    <w:rsid w:val="00380C09"/>
    <w:rsid w:val="00381C6D"/>
    <w:rsid w:val="00385A30"/>
    <w:rsid w:val="0039017B"/>
    <w:rsid w:val="003A1821"/>
    <w:rsid w:val="003A56BD"/>
    <w:rsid w:val="003B4070"/>
    <w:rsid w:val="003B6CBA"/>
    <w:rsid w:val="003C0AFA"/>
    <w:rsid w:val="003D7AD5"/>
    <w:rsid w:val="003E0E83"/>
    <w:rsid w:val="003E44D5"/>
    <w:rsid w:val="004075DD"/>
    <w:rsid w:val="00412ED0"/>
    <w:rsid w:val="00415C7E"/>
    <w:rsid w:val="0042293D"/>
    <w:rsid w:val="004375B5"/>
    <w:rsid w:val="00456141"/>
    <w:rsid w:val="00456470"/>
    <w:rsid w:val="0047191F"/>
    <w:rsid w:val="00482AAF"/>
    <w:rsid w:val="004B0D2A"/>
    <w:rsid w:val="004D14CA"/>
    <w:rsid w:val="004E0917"/>
    <w:rsid w:val="004F06DD"/>
    <w:rsid w:val="004F5B38"/>
    <w:rsid w:val="00514A24"/>
    <w:rsid w:val="00523805"/>
    <w:rsid w:val="00524723"/>
    <w:rsid w:val="00527FEB"/>
    <w:rsid w:val="005477B3"/>
    <w:rsid w:val="00576A7D"/>
    <w:rsid w:val="00581862"/>
    <w:rsid w:val="00590287"/>
    <w:rsid w:val="005B33CE"/>
    <w:rsid w:val="005B7F8B"/>
    <w:rsid w:val="005D47CD"/>
    <w:rsid w:val="005F0888"/>
    <w:rsid w:val="005F2F93"/>
    <w:rsid w:val="00614AF5"/>
    <w:rsid w:val="00626E2A"/>
    <w:rsid w:val="00627D25"/>
    <w:rsid w:val="00630FB9"/>
    <w:rsid w:val="006417E7"/>
    <w:rsid w:val="00654302"/>
    <w:rsid w:val="0065519A"/>
    <w:rsid w:val="00661D8F"/>
    <w:rsid w:val="00674718"/>
    <w:rsid w:val="00684019"/>
    <w:rsid w:val="0069740D"/>
    <w:rsid w:val="006A03FC"/>
    <w:rsid w:val="006E1A35"/>
    <w:rsid w:val="00701699"/>
    <w:rsid w:val="00703494"/>
    <w:rsid w:val="00725823"/>
    <w:rsid w:val="0073714B"/>
    <w:rsid w:val="0075250F"/>
    <w:rsid w:val="007541B2"/>
    <w:rsid w:val="00760A31"/>
    <w:rsid w:val="00785898"/>
    <w:rsid w:val="007A2715"/>
    <w:rsid w:val="007B35FE"/>
    <w:rsid w:val="007D2DCD"/>
    <w:rsid w:val="007F0D10"/>
    <w:rsid w:val="007F2296"/>
    <w:rsid w:val="007F3A5B"/>
    <w:rsid w:val="00807416"/>
    <w:rsid w:val="008116B3"/>
    <w:rsid w:val="00823901"/>
    <w:rsid w:val="00833BC0"/>
    <w:rsid w:val="00837E2B"/>
    <w:rsid w:val="00844036"/>
    <w:rsid w:val="00845CAA"/>
    <w:rsid w:val="00847551"/>
    <w:rsid w:val="0085357C"/>
    <w:rsid w:val="00864FEB"/>
    <w:rsid w:val="00880D46"/>
    <w:rsid w:val="00890807"/>
    <w:rsid w:val="00892661"/>
    <w:rsid w:val="008A5B09"/>
    <w:rsid w:val="008A5CD4"/>
    <w:rsid w:val="008D48D8"/>
    <w:rsid w:val="008E335E"/>
    <w:rsid w:val="008E7177"/>
    <w:rsid w:val="009016C7"/>
    <w:rsid w:val="00911074"/>
    <w:rsid w:val="00915BA3"/>
    <w:rsid w:val="00917CA3"/>
    <w:rsid w:val="00926599"/>
    <w:rsid w:val="00930DEB"/>
    <w:rsid w:val="009434EA"/>
    <w:rsid w:val="009619D1"/>
    <w:rsid w:val="0097240B"/>
    <w:rsid w:val="009724AE"/>
    <w:rsid w:val="00974B71"/>
    <w:rsid w:val="00997AA8"/>
    <w:rsid w:val="009A7894"/>
    <w:rsid w:val="009D0928"/>
    <w:rsid w:val="009D2BA3"/>
    <w:rsid w:val="009D735C"/>
    <w:rsid w:val="009E656D"/>
    <w:rsid w:val="009F4DBB"/>
    <w:rsid w:val="00A32B9B"/>
    <w:rsid w:val="00A36875"/>
    <w:rsid w:val="00A42137"/>
    <w:rsid w:val="00A6107D"/>
    <w:rsid w:val="00A817BF"/>
    <w:rsid w:val="00A93138"/>
    <w:rsid w:val="00AD2E68"/>
    <w:rsid w:val="00AE11DF"/>
    <w:rsid w:val="00AF799A"/>
    <w:rsid w:val="00B01FEA"/>
    <w:rsid w:val="00B21A4E"/>
    <w:rsid w:val="00B33BC0"/>
    <w:rsid w:val="00B43101"/>
    <w:rsid w:val="00B47EC7"/>
    <w:rsid w:val="00B61466"/>
    <w:rsid w:val="00B6587F"/>
    <w:rsid w:val="00B71788"/>
    <w:rsid w:val="00B736CF"/>
    <w:rsid w:val="00B94BB3"/>
    <w:rsid w:val="00BC1D91"/>
    <w:rsid w:val="00BC686A"/>
    <w:rsid w:val="00BD723D"/>
    <w:rsid w:val="00BE0B47"/>
    <w:rsid w:val="00BE1E1D"/>
    <w:rsid w:val="00BF67C4"/>
    <w:rsid w:val="00C02322"/>
    <w:rsid w:val="00C231AC"/>
    <w:rsid w:val="00C2331B"/>
    <w:rsid w:val="00C237CC"/>
    <w:rsid w:val="00C359B7"/>
    <w:rsid w:val="00C43F8C"/>
    <w:rsid w:val="00C50E7D"/>
    <w:rsid w:val="00C52E15"/>
    <w:rsid w:val="00C76CC3"/>
    <w:rsid w:val="00C77BBB"/>
    <w:rsid w:val="00C80A0A"/>
    <w:rsid w:val="00C82932"/>
    <w:rsid w:val="00CB104A"/>
    <w:rsid w:val="00CB41FD"/>
    <w:rsid w:val="00CD5048"/>
    <w:rsid w:val="00CF76D1"/>
    <w:rsid w:val="00D01239"/>
    <w:rsid w:val="00D32653"/>
    <w:rsid w:val="00D36D2D"/>
    <w:rsid w:val="00D816D3"/>
    <w:rsid w:val="00D91F6F"/>
    <w:rsid w:val="00D95210"/>
    <w:rsid w:val="00DA3B36"/>
    <w:rsid w:val="00DC266B"/>
    <w:rsid w:val="00DD7EB4"/>
    <w:rsid w:val="00DE41C6"/>
    <w:rsid w:val="00DE5199"/>
    <w:rsid w:val="00DE7CAD"/>
    <w:rsid w:val="00DF5033"/>
    <w:rsid w:val="00E07E8F"/>
    <w:rsid w:val="00E1650C"/>
    <w:rsid w:val="00E24280"/>
    <w:rsid w:val="00E25636"/>
    <w:rsid w:val="00E56623"/>
    <w:rsid w:val="00E6413B"/>
    <w:rsid w:val="00E7385B"/>
    <w:rsid w:val="00E8117F"/>
    <w:rsid w:val="00EB084D"/>
    <w:rsid w:val="00EB4FFB"/>
    <w:rsid w:val="00EC4784"/>
    <w:rsid w:val="00ED3205"/>
    <w:rsid w:val="00ED449E"/>
    <w:rsid w:val="00ED6F4D"/>
    <w:rsid w:val="00F05892"/>
    <w:rsid w:val="00F0632F"/>
    <w:rsid w:val="00F075B9"/>
    <w:rsid w:val="00F2006C"/>
    <w:rsid w:val="00F20639"/>
    <w:rsid w:val="00F33003"/>
    <w:rsid w:val="00F67A05"/>
    <w:rsid w:val="00F712F1"/>
    <w:rsid w:val="00F759C6"/>
    <w:rsid w:val="00F7653B"/>
    <w:rsid w:val="00FA2243"/>
    <w:rsid w:val="00FC306B"/>
    <w:rsid w:val="00FE4716"/>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CF6ACD8E-7AB1-401F-A690-6DE9F298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AFA"/>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AFA"/>
    <w:rPr>
      <w:color w:val="0000FF"/>
      <w:u w:val="single"/>
    </w:rPr>
  </w:style>
  <w:style w:type="paragraph" w:styleId="Header">
    <w:name w:val="header"/>
    <w:basedOn w:val="Normal"/>
    <w:rsid w:val="003C0AFA"/>
    <w:pPr>
      <w:tabs>
        <w:tab w:val="center" w:pos="4320"/>
        <w:tab w:val="right" w:pos="8640"/>
      </w:tabs>
    </w:pPr>
  </w:style>
  <w:style w:type="paragraph" w:styleId="Footer">
    <w:name w:val="footer"/>
    <w:basedOn w:val="Normal"/>
    <w:rsid w:val="003C0AFA"/>
    <w:pPr>
      <w:tabs>
        <w:tab w:val="center" w:pos="4320"/>
        <w:tab w:val="right" w:pos="8640"/>
      </w:tabs>
    </w:pPr>
  </w:style>
  <w:style w:type="paragraph" w:styleId="DocumentMap">
    <w:name w:val="Document Map"/>
    <w:basedOn w:val="Normal"/>
    <w:semiHidden/>
    <w:rsid w:val="003C0AFA"/>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styleId="ListParagraph">
    <w:name w:val="List Paragraph"/>
    <w:basedOn w:val="Normal"/>
    <w:uiPriority w:val="34"/>
    <w:qFormat/>
    <w:rsid w:val="00B6587F"/>
    <w:pPr>
      <w:ind w:left="720"/>
      <w:contextualSpacing/>
    </w:pPr>
    <w:rPr>
      <w:b/>
      <w:sz w:val="24"/>
      <w:szCs w:val="24"/>
    </w:rPr>
  </w:style>
  <w:style w:type="table" w:styleId="TableGrid">
    <w:name w:val="Table Grid"/>
    <w:basedOn w:val="TableNormal"/>
    <w:rsid w:val="00A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76A7D"/>
    <w:rPr>
      <w:sz w:val="24"/>
      <w:szCs w:val="24"/>
    </w:rPr>
  </w:style>
  <w:style w:type="paragraph" w:styleId="NoSpacing">
    <w:name w:val="No Spacing"/>
    <w:uiPriority w:val="1"/>
    <w:qFormat/>
    <w:rsid w:val="00576A7D"/>
  </w:style>
  <w:style w:type="paragraph" w:customStyle="1" w:styleId="Default">
    <w:name w:val="Default"/>
    <w:rsid w:val="008D48D8"/>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9E656D"/>
    <w:rPr>
      <w:rFonts w:ascii="Segoe UI" w:hAnsi="Segoe UI" w:cs="Segoe UI"/>
      <w:sz w:val="18"/>
      <w:szCs w:val="18"/>
    </w:rPr>
  </w:style>
  <w:style w:type="character" w:customStyle="1" w:styleId="BalloonTextChar">
    <w:name w:val="Balloon Text Char"/>
    <w:basedOn w:val="DefaultParagraphFont"/>
    <w:link w:val="BalloonText"/>
    <w:rsid w:val="009E6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33382">
      <w:bodyDiv w:val="1"/>
      <w:marLeft w:val="0"/>
      <w:marRight w:val="0"/>
      <w:marTop w:val="0"/>
      <w:marBottom w:val="0"/>
      <w:divBdr>
        <w:top w:val="none" w:sz="0" w:space="0" w:color="auto"/>
        <w:left w:val="none" w:sz="0" w:space="0" w:color="auto"/>
        <w:bottom w:val="none" w:sz="0" w:space="0" w:color="auto"/>
        <w:right w:val="none" w:sz="0" w:space="0" w:color="auto"/>
      </w:divBdr>
    </w:div>
    <w:div w:id="1076322620">
      <w:bodyDiv w:val="1"/>
      <w:marLeft w:val="0"/>
      <w:marRight w:val="0"/>
      <w:marTop w:val="0"/>
      <w:marBottom w:val="0"/>
      <w:divBdr>
        <w:top w:val="none" w:sz="0" w:space="0" w:color="auto"/>
        <w:left w:val="none" w:sz="0" w:space="0" w:color="auto"/>
        <w:bottom w:val="none" w:sz="0" w:space="0" w:color="auto"/>
        <w:right w:val="none" w:sz="0" w:space="0" w:color="auto"/>
      </w:divBdr>
    </w:div>
    <w:div w:id="19636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258F-9EBB-46F8-B814-03796260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400</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Meghan Swain</cp:lastModifiedBy>
  <cp:revision>9</cp:revision>
  <cp:lastPrinted>2018-04-17T15:42:00Z</cp:lastPrinted>
  <dcterms:created xsi:type="dcterms:W3CDTF">2019-03-12T14:32:00Z</dcterms:created>
  <dcterms:modified xsi:type="dcterms:W3CDTF">2019-03-27T15:22:00Z</dcterms:modified>
</cp:coreProperties>
</file>