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3BC6B254" w14:textId="682A96F9" w:rsidR="002E5003" w:rsidRPr="002E5003" w:rsidRDefault="002E5003" w:rsidP="00CF2776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Scenario</w:t>
      </w:r>
    </w:p>
    <w:p w14:paraId="19C67C6C" w14:textId="77777777" w:rsidR="00AE2A31" w:rsidRPr="00312087" w:rsidRDefault="00AE2A31" w:rsidP="00AE2A31">
      <w:pPr>
        <w:rPr>
          <w:sz w:val="24"/>
          <w:szCs w:val="24"/>
        </w:rPr>
      </w:pPr>
      <w:r w:rsidRPr="00312087">
        <w:rPr>
          <w:sz w:val="24"/>
          <w:szCs w:val="24"/>
        </w:rPr>
        <w:t xml:space="preserve">A local pediatrician contacts the CD line regarding a suspect measles case in an unvaccinated five-year-old child who recently traveled to Germany with his parents and started showing symptoms after returning home. </w:t>
      </w:r>
      <w:r w:rsidRPr="00E92570">
        <w:rPr>
          <w:sz w:val="24"/>
          <w:szCs w:val="24"/>
        </w:rPr>
        <w:t xml:space="preserve">The pediatrician doesn’t know where the labs can be processed. </w:t>
      </w:r>
      <w:r>
        <w:rPr>
          <w:sz w:val="24"/>
          <w:szCs w:val="24"/>
        </w:rPr>
        <w:t xml:space="preserve">Of note, the </w:t>
      </w:r>
      <w:r w:rsidRPr="00312087">
        <w:rPr>
          <w:sz w:val="24"/>
          <w:szCs w:val="24"/>
        </w:rPr>
        <w:t xml:space="preserve">parents do not know their own vaccination status and don’t have proof of receiving vaccine in the past. </w:t>
      </w:r>
    </w:p>
    <w:p w14:paraId="6EA0088F" w14:textId="77777777" w:rsidR="00AE2A31" w:rsidRPr="00312087" w:rsidRDefault="00AE2A31" w:rsidP="00AE2A31">
      <w:pPr>
        <w:rPr>
          <w:sz w:val="24"/>
          <w:szCs w:val="24"/>
        </w:rPr>
      </w:pPr>
      <w:r w:rsidRPr="00312087">
        <w:rPr>
          <w:sz w:val="24"/>
          <w:szCs w:val="24"/>
        </w:rPr>
        <w:t>The pediatrician explains that upon return from the trip, the child went back to school and after a few days, began experiencing a fever and a cough. The parents, assuming it is just a bug caught while traveling and being run down, continued to send their child to school</w:t>
      </w:r>
      <w:r>
        <w:rPr>
          <w:sz w:val="24"/>
          <w:szCs w:val="24"/>
        </w:rPr>
        <w:t xml:space="preserve"> because they had to get back to work. When</w:t>
      </w:r>
      <w:r w:rsidRPr="00312087">
        <w:rPr>
          <w:sz w:val="24"/>
          <w:szCs w:val="24"/>
        </w:rPr>
        <w:t xml:space="preserve"> the mom noticed </w:t>
      </w:r>
      <w:r>
        <w:rPr>
          <w:sz w:val="24"/>
          <w:szCs w:val="24"/>
        </w:rPr>
        <w:t xml:space="preserve">that the child had a rash on his forehead and red, watery eyes, </w:t>
      </w:r>
      <w:r w:rsidRPr="00312087">
        <w:rPr>
          <w:sz w:val="24"/>
          <w:szCs w:val="24"/>
        </w:rPr>
        <w:t>she made an appointment</w:t>
      </w:r>
      <w:r>
        <w:rPr>
          <w:sz w:val="24"/>
          <w:szCs w:val="24"/>
        </w:rPr>
        <w:t xml:space="preserve"> to see if something more was going on</w:t>
      </w:r>
      <w:r w:rsidRPr="00312087">
        <w:rPr>
          <w:sz w:val="24"/>
          <w:szCs w:val="24"/>
        </w:rPr>
        <w:t xml:space="preserve">. </w:t>
      </w:r>
      <w:r>
        <w:rPr>
          <w:sz w:val="24"/>
          <w:szCs w:val="24"/>
        </w:rPr>
        <w:t>The family had to wait two days to get an</w:t>
      </w:r>
      <w:r w:rsidRPr="00312087">
        <w:rPr>
          <w:sz w:val="24"/>
          <w:szCs w:val="24"/>
        </w:rPr>
        <w:t xml:space="preserve"> appointment at the pediatrician’s office</w:t>
      </w:r>
      <w:r>
        <w:rPr>
          <w:sz w:val="24"/>
          <w:szCs w:val="24"/>
        </w:rPr>
        <w:t xml:space="preserve"> and in the meantime,</w:t>
      </w:r>
      <w:r w:rsidRPr="00312087">
        <w:rPr>
          <w:sz w:val="24"/>
          <w:szCs w:val="24"/>
        </w:rPr>
        <w:t xml:space="preserve"> a grandparent stay</w:t>
      </w:r>
      <w:r>
        <w:rPr>
          <w:sz w:val="24"/>
          <w:szCs w:val="24"/>
        </w:rPr>
        <w:t>ed</w:t>
      </w:r>
      <w:r w:rsidRPr="00312087">
        <w:rPr>
          <w:sz w:val="24"/>
          <w:szCs w:val="24"/>
        </w:rPr>
        <w:t xml:space="preserve"> with the child so </w:t>
      </w:r>
      <w:r>
        <w:rPr>
          <w:sz w:val="24"/>
          <w:szCs w:val="24"/>
        </w:rPr>
        <w:t>mom</w:t>
      </w:r>
      <w:r w:rsidRPr="00312087">
        <w:rPr>
          <w:sz w:val="24"/>
          <w:szCs w:val="24"/>
        </w:rPr>
        <w:t xml:space="preserve"> and </w:t>
      </w:r>
      <w:r>
        <w:rPr>
          <w:sz w:val="24"/>
          <w:szCs w:val="24"/>
        </w:rPr>
        <w:t>dad</w:t>
      </w:r>
      <w:r w:rsidRPr="00312087">
        <w:rPr>
          <w:sz w:val="24"/>
          <w:szCs w:val="24"/>
        </w:rPr>
        <w:t xml:space="preserve"> could continue to work. </w:t>
      </w:r>
      <w:r w:rsidRPr="00E92570">
        <w:rPr>
          <w:sz w:val="24"/>
          <w:szCs w:val="24"/>
        </w:rPr>
        <w:t xml:space="preserve">The clinic exam was notable for conjunctivitis, cough, fever, and few light-colored spots on buccal mucosa.  </w:t>
      </w:r>
    </w:p>
    <w:p w14:paraId="0C75412D" w14:textId="3E6F28DE" w:rsidR="00AE2A31" w:rsidRPr="00312087" w:rsidRDefault="00AE2A31" w:rsidP="00AE2A31">
      <w:pPr>
        <w:rPr>
          <w:sz w:val="24"/>
          <w:szCs w:val="24"/>
        </w:rPr>
      </w:pPr>
      <w:r w:rsidRPr="00312087">
        <w:rPr>
          <w:sz w:val="24"/>
          <w:szCs w:val="24"/>
        </w:rPr>
        <w:t>Th</w:t>
      </w:r>
      <w:r>
        <w:rPr>
          <w:sz w:val="24"/>
          <w:szCs w:val="24"/>
        </w:rPr>
        <w:t>ree days later</w:t>
      </w:r>
      <w:r w:rsidRPr="00312087">
        <w:rPr>
          <w:sz w:val="24"/>
          <w:szCs w:val="24"/>
        </w:rPr>
        <w:t xml:space="preserve">, </w:t>
      </w:r>
      <w:r w:rsidR="005C334A">
        <w:rPr>
          <w:sz w:val="24"/>
          <w:szCs w:val="24"/>
        </w:rPr>
        <w:t>[</w:t>
      </w:r>
      <w:r w:rsidR="005C334A" w:rsidRPr="005C334A">
        <w:rPr>
          <w:sz w:val="24"/>
          <w:szCs w:val="24"/>
          <w:highlight w:val="yellow"/>
        </w:rPr>
        <w:t>Health Department Name</w:t>
      </w:r>
      <w:r w:rsidR="005C334A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 receives the report for the child that shows results from the PCR and IgM are positive for measles. The </w:t>
      </w:r>
      <w:r w:rsidR="005C334A">
        <w:rPr>
          <w:sz w:val="24"/>
          <w:szCs w:val="24"/>
        </w:rPr>
        <w:t>[</w:t>
      </w:r>
      <w:r w:rsidR="005C334A" w:rsidRPr="005D3C4C">
        <w:rPr>
          <w:sz w:val="24"/>
          <w:szCs w:val="24"/>
          <w:highlight w:val="yellow"/>
        </w:rPr>
        <w:t>appropriate job role – CD nurse, clerk, Epi, etc.</w:t>
      </w:r>
      <w:r w:rsidR="005C334A">
        <w:rPr>
          <w:sz w:val="24"/>
          <w:szCs w:val="24"/>
        </w:rPr>
        <w:t xml:space="preserve">] </w:t>
      </w:r>
      <w:r w:rsidRPr="00312087">
        <w:rPr>
          <w:sz w:val="24"/>
          <w:szCs w:val="24"/>
        </w:rPr>
        <w:t xml:space="preserve">contacts the mom and begins an interview. Dad is a nurse at </w:t>
      </w:r>
      <w:r w:rsidR="005C334A">
        <w:rPr>
          <w:sz w:val="24"/>
          <w:szCs w:val="24"/>
        </w:rPr>
        <w:t>[</w:t>
      </w:r>
      <w:r w:rsidR="005C334A" w:rsidRPr="005C334A">
        <w:rPr>
          <w:sz w:val="24"/>
          <w:szCs w:val="24"/>
          <w:highlight w:val="yellow"/>
        </w:rPr>
        <w:t>local hospital name</w:t>
      </w:r>
      <w:r w:rsidR="005C334A">
        <w:rPr>
          <w:sz w:val="24"/>
          <w:szCs w:val="24"/>
        </w:rPr>
        <w:t xml:space="preserve">] </w:t>
      </w:r>
      <w:r w:rsidRPr="0031208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has been working with </w:t>
      </w:r>
      <w:r w:rsidRPr="00312087">
        <w:rPr>
          <w:sz w:val="24"/>
          <w:szCs w:val="24"/>
        </w:rPr>
        <w:t>mild symptoms (cough and fatigue) assuming it was allergies and feeling run</w:t>
      </w:r>
      <w:r w:rsidR="005C334A">
        <w:rPr>
          <w:sz w:val="24"/>
          <w:szCs w:val="24"/>
        </w:rPr>
        <w:t xml:space="preserve"> </w:t>
      </w:r>
      <w:r w:rsidRPr="00312087">
        <w:rPr>
          <w:sz w:val="24"/>
          <w:szCs w:val="24"/>
        </w:rPr>
        <w:t>down from traveling</w:t>
      </w:r>
      <w:r>
        <w:rPr>
          <w:sz w:val="24"/>
          <w:szCs w:val="24"/>
        </w:rPr>
        <w:t xml:space="preserve"> and adjusting to the jetlag</w:t>
      </w:r>
      <w:r w:rsidRPr="00312087">
        <w:rPr>
          <w:sz w:val="24"/>
          <w:szCs w:val="24"/>
        </w:rPr>
        <w:t xml:space="preserve">. Mom works at a daycare in </w:t>
      </w:r>
      <w:r w:rsidR="005C334A">
        <w:rPr>
          <w:sz w:val="24"/>
          <w:szCs w:val="24"/>
        </w:rPr>
        <w:t>[</w:t>
      </w:r>
      <w:r w:rsidR="005C334A" w:rsidRPr="005C334A">
        <w:rPr>
          <w:sz w:val="24"/>
          <w:szCs w:val="24"/>
          <w:highlight w:val="yellow"/>
        </w:rPr>
        <w:t>city within the county</w:t>
      </w:r>
      <w:r w:rsidR="005C334A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 but is not experiencing an</w:t>
      </w:r>
      <w:r>
        <w:rPr>
          <w:sz w:val="24"/>
          <w:szCs w:val="24"/>
        </w:rPr>
        <w:t>y</w:t>
      </w:r>
      <w:r w:rsidRPr="00312087">
        <w:rPr>
          <w:sz w:val="24"/>
          <w:szCs w:val="24"/>
        </w:rPr>
        <w:t xml:space="preserve"> symptoms. Further investigation finds that the family had traveled with extended family members who also live in </w:t>
      </w:r>
      <w:r w:rsidR="005C334A">
        <w:rPr>
          <w:sz w:val="24"/>
          <w:szCs w:val="24"/>
        </w:rPr>
        <w:t>[</w:t>
      </w:r>
      <w:r w:rsidR="005C334A" w:rsidRPr="005C334A">
        <w:rPr>
          <w:sz w:val="24"/>
          <w:szCs w:val="24"/>
          <w:highlight w:val="yellow"/>
        </w:rPr>
        <w:t>county name</w:t>
      </w:r>
      <w:r w:rsidR="005C334A">
        <w:rPr>
          <w:sz w:val="24"/>
          <w:szCs w:val="24"/>
        </w:rPr>
        <w:t>]</w:t>
      </w:r>
      <w:r w:rsidRPr="00312087">
        <w:rPr>
          <w:sz w:val="24"/>
          <w:szCs w:val="24"/>
        </w:rPr>
        <w:t xml:space="preserve"> (vaccination status unknown)</w:t>
      </w:r>
      <w:r>
        <w:rPr>
          <w:sz w:val="24"/>
          <w:szCs w:val="24"/>
        </w:rPr>
        <w:t>. One of the travelers, a seven-year-old niece, also has mild symptoms</w:t>
      </w:r>
      <w:r w:rsidRPr="003120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06CC45C" w14:textId="77777777" w:rsidR="007C4483" w:rsidRPr="00FA5917" w:rsidRDefault="007C4483" w:rsidP="00CF2776">
      <w:pPr>
        <w:spacing w:after="0" w:line="240" w:lineRule="auto"/>
        <w:rPr>
          <w:sz w:val="24"/>
          <w:szCs w:val="24"/>
        </w:rPr>
      </w:pPr>
    </w:p>
    <w:p w14:paraId="79213095" w14:textId="68EE2A3D" w:rsidR="00CF2776" w:rsidRPr="006608EB" w:rsidRDefault="00CF2776" w:rsidP="00CF2776">
      <w:pPr>
        <w:spacing w:after="0" w:line="240" w:lineRule="auto"/>
        <w:rPr>
          <w:b/>
          <w:bCs/>
          <w:sz w:val="24"/>
          <w:szCs w:val="24"/>
        </w:rPr>
      </w:pPr>
      <w:r w:rsidRPr="006608EB">
        <w:rPr>
          <w:b/>
          <w:bCs/>
          <w:sz w:val="24"/>
          <w:szCs w:val="24"/>
        </w:rPr>
        <w:t>Intended Audience</w:t>
      </w:r>
    </w:p>
    <w:p w14:paraId="13D74998" w14:textId="6045FB8B" w:rsidR="00CF2776" w:rsidRDefault="005C334A" w:rsidP="00CF2776">
      <w:pPr>
        <w:spacing w:after="0" w:line="240" w:lineRule="auto"/>
        <w:rPr>
          <w:sz w:val="24"/>
          <w:szCs w:val="24"/>
        </w:rPr>
      </w:pPr>
      <w:bookmarkStart w:id="0" w:name="_Hlk144906730"/>
      <w:r>
        <w:rPr>
          <w:sz w:val="24"/>
          <w:szCs w:val="24"/>
        </w:rPr>
        <w:t>[</w:t>
      </w:r>
      <w:r w:rsidRPr="005D3C4C">
        <w:rPr>
          <w:sz w:val="24"/>
          <w:szCs w:val="24"/>
          <w:highlight w:val="yellow"/>
        </w:rPr>
        <w:t>Change titles as appropriate</w:t>
      </w:r>
      <w:r>
        <w:rPr>
          <w:sz w:val="24"/>
          <w:szCs w:val="24"/>
        </w:rPr>
        <w:t xml:space="preserve">] </w:t>
      </w:r>
      <w:bookmarkEnd w:id="0"/>
      <w:r w:rsidR="00CF2776">
        <w:rPr>
          <w:sz w:val="24"/>
          <w:szCs w:val="24"/>
        </w:rPr>
        <w:t xml:space="preserve">Health Officer, Medical Director, PPHS Director, Nursing Supervisor, CD Nurse, </w:t>
      </w:r>
      <w:r>
        <w:rPr>
          <w:sz w:val="24"/>
          <w:szCs w:val="24"/>
        </w:rPr>
        <w:t xml:space="preserve">Imms. Nurse, </w:t>
      </w:r>
      <w:r w:rsidR="00CF2776">
        <w:rPr>
          <w:sz w:val="24"/>
          <w:szCs w:val="24"/>
        </w:rPr>
        <w:t>Epidemiology</w:t>
      </w:r>
      <w:r w:rsidR="00435B7B">
        <w:rPr>
          <w:sz w:val="24"/>
          <w:szCs w:val="24"/>
        </w:rPr>
        <w:t>,</w:t>
      </w:r>
      <w:r w:rsidR="00435B7B" w:rsidRPr="00435B7B">
        <w:rPr>
          <w:sz w:val="24"/>
          <w:szCs w:val="24"/>
        </w:rPr>
        <w:t xml:space="preserve"> </w:t>
      </w:r>
      <w:r w:rsidR="00435B7B">
        <w:rPr>
          <w:sz w:val="24"/>
          <w:szCs w:val="24"/>
        </w:rPr>
        <w:t>EPC, Health Promotions Coordinator</w:t>
      </w:r>
      <w:r w:rsidR="00AE2A31">
        <w:rPr>
          <w:sz w:val="24"/>
          <w:szCs w:val="24"/>
        </w:rPr>
        <w:t>.</w:t>
      </w:r>
    </w:p>
    <w:p w14:paraId="6B177034" w14:textId="77777777" w:rsidR="00CF2776" w:rsidRDefault="00CF2776" w:rsidP="00CF2776">
      <w:pPr>
        <w:spacing w:after="0" w:line="240" w:lineRule="auto"/>
        <w:rPr>
          <w:sz w:val="24"/>
          <w:szCs w:val="24"/>
        </w:rPr>
      </w:pPr>
    </w:p>
    <w:p w14:paraId="1F1F9710" w14:textId="77777777" w:rsidR="00CF2776" w:rsidRPr="002E5003" w:rsidRDefault="00CF2776" w:rsidP="00CF2776">
      <w:pPr>
        <w:spacing w:after="0" w:line="240" w:lineRule="auto"/>
        <w:rPr>
          <w:sz w:val="24"/>
          <w:szCs w:val="24"/>
        </w:rPr>
      </w:pPr>
    </w:p>
    <w:p w14:paraId="1D748A13" w14:textId="77777777" w:rsidR="00AE2A31" w:rsidRPr="002E5003" w:rsidRDefault="00AE2A31" w:rsidP="00AE2A31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308132F8" w14:textId="77777777" w:rsidR="005C334A" w:rsidRPr="002E5003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678D3426" w14:textId="77777777" w:rsidR="005C334A" w:rsidRPr="002E5003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2F1690C3" w14:textId="77777777" w:rsidR="005C334A" w:rsidRPr="002E5003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lastRenderedPageBreak/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0FBC6574" w14:textId="77777777" w:rsidR="005C334A" w:rsidRPr="002E5003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498CDA19" w14:textId="77777777" w:rsidR="005C334A" w:rsidRPr="00FC710D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3B97CB72" w14:textId="77777777" w:rsidR="005C334A" w:rsidRDefault="005C334A" w:rsidP="005C334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6BB6750D" w14:textId="1BCACF31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4ED09160" w14:textId="77777777" w:rsidR="00DA74FA" w:rsidRDefault="00DA74FA" w:rsidP="00DA74FA">
      <w:pPr>
        <w:spacing w:after="0" w:line="240" w:lineRule="auto"/>
        <w:rPr>
          <w:sz w:val="24"/>
          <w:szCs w:val="24"/>
        </w:rPr>
      </w:pPr>
    </w:p>
    <w:p w14:paraId="1924D543" w14:textId="3265E538" w:rsidR="00727A7F" w:rsidRDefault="00DA74FA" w:rsidP="00DA74FA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5" w:name="_Hlk125551856"/>
    <w:p w14:paraId="208829DA" w14:textId="1387B666" w:rsidR="00926517" w:rsidRPr="00872F66" w:rsidRDefault="005C334A" w:rsidP="0092651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26517" w:rsidRPr="005C334A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="00926517"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22BA538F" w14:textId="02D2D361" w:rsidR="00926517" w:rsidRPr="00872F66" w:rsidRDefault="00926517" w:rsidP="0092651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 w:rsidR="005C334A">
        <w:rPr>
          <w:sz w:val="24"/>
          <w:szCs w:val="24"/>
        </w:rPr>
        <w:t xml:space="preserve"> – </w:t>
      </w:r>
      <w:hyperlink r:id="rId7" w:history="1">
        <w:r w:rsidR="005C334A" w:rsidRPr="005C334A">
          <w:rPr>
            <w:rStyle w:val="Hyperlink"/>
            <w:sz w:val="24"/>
            <w:szCs w:val="24"/>
          </w:rPr>
          <w:t>Measles</w:t>
        </w:r>
      </w:hyperlink>
      <w:r w:rsidR="005C334A">
        <w:rPr>
          <w:sz w:val="24"/>
          <w:szCs w:val="24"/>
        </w:rPr>
        <w:t xml:space="preserve"> </w:t>
      </w:r>
    </w:p>
    <w:p w14:paraId="612453BD" w14:textId="77777777" w:rsidR="00926517" w:rsidRDefault="00926517" w:rsidP="0092651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1CB3C893" w14:textId="7EDBA102" w:rsidR="005C334A" w:rsidRPr="005C334A" w:rsidRDefault="005C334A" w:rsidP="005C334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5C334A">
        <w:rPr>
          <w:sz w:val="24"/>
          <w:szCs w:val="24"/>
        </w:rPr>
        <w:t>"</w:t>
      </w:r>
      <w:hyperlink r:id="rId8" w:history="1">
        <w:r w:rsidR="00B669A5" w:rsidRPr="00104F38">
          <w:rPr>
            <w:rStyle w:val="Hyperlink"/>
            <w:sz w:val="24"/>
            <w:szCs w:val="24"/>
          </w:rPr>
          <w:t>Control of Communicable Diseases Manual</w:t>
        </w:r>
      </w:hyperlink>
      <w:r w:rsidRPr="005C334A">
        <w:rPr>
          <w:sz w:val="24"/>
          <w:szCs w:val="24"/>
        </w:rPr>
        <w:t>"- 21st edition</w:t>
      </w:r>
    </w:p>
    <w:p w14:paraId="192525CA" w14:textId="77777777" w:rsidR="005C334A" w:rsidRPr="00743BC1" w:rsidRDefault="005C334A" w:rsidP="005C334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9AD5BBE" w14:textId="5F4FF2DE" w:rsidR="00926517" w:rsidRPr="00872F66" w:rsidRDefault="00926517" w:rsidP="005C334A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5"/>
    <w:p w14:paraId="01FEFC19" w14:textId="2E9E3AFA" w:rsidR="00DA74FA" w:rsidRDefault="00DA74FA" w:rsidP="008870DB">
      <w:pPr>
        <w:spacing w:after="0" w:line="240" w:lineRule="auto"/>
        <w:rPr>
          <w:sz w:val="24"/>
          <w:szCs w:val="24"/>
        </w:rPr>
      </w:pPr>
    </w:p>
    <w:p w14:paraId="07494F2F" w14:textId="226F60B1" w:rsidR="008870DB" w:rsidRDefault="008870DB" w:rsidP="008870DB">
      <w:pPr>
        <w:spacing w:after="0" w:line="240" w:lineRule="auto"/>
        <w:rPr>
          <w:sz w:val="24"/>
          <w:szCs w:val="24"/>
        </w:rPr>
      </w:pPr>
    </w:p>
    <w:p w14:paraId="25DD3CFF" w14:textId="77777777" w:rsidR="008870DB" w:rsidRPr="008870DB" w:rsidRDefault="008870DB" w:rsidP="008870DB">
      <w:pPr>
        <w:spacing w:after="0" w:line="240" w:lineRule="auto"/>
        <w:rPr>
          <w:sz w:val="24"/>
          <w:szCs w:val="24"/>
        </w:rPr>
      </w:pPr>
    </w:p>
    <w:sectPr w:rsidR="008870DB" w:rsidRPr="008870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A2E7" w14:textId="77777777" w:rsidR="0045559B" w:rsidRDefault="00455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5E99" w14:textId="77777777" w:rsidR="0045559B" w:rsidRDefault="00455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8FBE" w14:textId="77777777" w:rsidR="0045559B" w:rsidRDefault="00455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0BDD" w14:textId="77777777" w:rsidR="0045559B" w:rsidRDefault="00455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C68C" w14:textId="769C42DD" w:rsidR="00AE2A31" w:rsidRDefault="00AE2A31" w:rsidP="00AE2A31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Travel Associated Measles</w:t>
    </w:r>
  </w:p>
  <w:p w14:paraId="09018FD2" w14:textId="77777777" w:rsidR="005C334A" w:rsidRPr="00BB2272" w:rsidRDefault="005C334A" w:rsidP="005C334A">
    <w:pPr>
      <w:pStyle w:val="Header"/>
      <w:jc w:val="center"/>
      <w:rPr>
        <w:sz w:val="28"/>
        <w:szCs w:val="28"/>
      </w:rPr>
    </w:pPr>
    <w:bookmarkStart w:id="6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6"/>
  <w:p w14:paraId="564C0EFD" w14:textId="3C39C59A" w:rsidR="006041CB" w:rsidRPr="006041CB" w:rsidRDefault="006041CB" w:rsidP="00105574">
    <w:pPr>
      <w:pStyle w:val="Header"/>
      <w:jc w:val="center"/>
      <w:rPr>
        <w:b/>
        <w:bCs/>
        <w:i/>
        <w:iCs/>
        <w:sz w:val="28"/>
        <w:szCs w:val="28"/>
      </w:rPr>
    </w:pPr>
    <w:r w:rsidRPr="006041CB">
      <w:rPr>
        <w:b/>
        <w:bCs/>
        <w:i/>
        <w:iCs/>
        <w:sz w:val="28"/>
        <w:szCs w:val="28"/>
      </w:rPr>
      <w:t>Scenario and Objectives</w:t>
    </w:r>
    <w:r w:rsidR="00E5554D">
      <w:rPr>
        <w:b/>
        <w:bCs/>
        <w:i/>
        <w:iCs/>
        <w:sz w:val="28"/>
        <w:szCs w:val="28"/>
      </w:rPr>
      <w:t xml:space="preserve"> for Exercise </w:t>
    </w:r>
    <w:r w:rsidR="005C334A">
      <w:rPr>
        <w:b/>
        <w:bCs/>
        <w:i/>
        <w:iCs/>
        <w:sz w:val="28"/>
        <w:szCs w:val="28"/>
      </w:rPr>
      <w:t>Lead</w:t>
    </w:r>
  </w:p>
  <w:p w14:paraId="2FB99DDF" w14:textId="77777777" w:rsidR="002E5003" w:rsidRPr="00105574" w:rsidRDefault="002E5003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8F0B" w14:textId="77777777" w:rsidR="0045559B" w:rsidRDefault="00455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4825"/>
    <w:multiLevelType w:val="hybridMultilevel"/>
    <w:tmpl w:val="0206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46D5"/>
    <w:multiLevelType w:val="hybridMultilevel"/>
    <w:tmpl w:val="142A0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4"/>
  </w:num>
  <w:num w:numId="3" w16cid:durableId="379209496">
    <w:abstractNumId w:val="1"/>
  </w:num>
  <w:num w:numId="4" w16cid:durableId="32000760">
    <w:abstractNumId w:val="6"/>
  </w:num>
  <w:num w:numId="5" w16cid:durableId="1513372132">
    <w:abstractNumId w:val="3"/>
  </w:num>
  <w:num w:numId="6" w16cid:durableId="1876195915">
    <w:abstractNumId w:val="5"/>
  </w:num>
  <w:num w:numId="7" w16cid:durableId="877358835">
    <w:abstractNumId w:val="2"/>
  </w:num>
  <w:num w:numId="8" w16cid:durableId="453056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1043D"/>
    <w:rsid w:val="00047578"/>
    <w:rsid w:val="00100FC3"/>
    <w:rsid w:val="00105574"/>
    <w:rsid w:val="001E2BA3"/>
    <w:rsid w:val="00280E20"/>
    <w:rsid w:val="002D30EB"/>
    <w:rsid w:val="002E5003"/>
    <w:rsid w:val="00435B7B"/>
    <w:rsid w:val="0045559B"/>
    <w:rsid w:val="00456D3A"/>
    <w:rsid w:val="004B1D87"/>
    <w:rsid w:val="005C334A"/>
    <w:rsid w:val="006041CB"/>
    <w:rsid w:val="006608EB"/>
    <w:rsid w:val="00727A7F"/>
    <w:rsid w:val="007C4483"/>
    <w:rsid w:val="00802BFC"/>
    <w:rsid w:val="00834EF7"/>
    <w:rsid w:val="00855791"/>
    <w:rsid w:val="008870DB"/>
    <w:rsid w:val="00926517"/>
    <w:rsid w:val="00995CD7"/>
    <w:rsid w:val="00A36920"/>
    <w:rsid w:val="00AE2A31"/>
    <w:rsid w:val="00B669A5"/>
    <w:rsid w:val="00B87E1C"/>
    <w:rsid w:val="00CA782F"/>
    <w:rsid w:val="00CF2776"/>
    <w:rsid w:val="00DA74FA"/>
    <w:rsid w:val="00E36C37"/>
    <w:rsid w:val="00E5554D"/>
    <w:rsid w:val="00FA591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1AF8"/>
  <w15:docId w15:val="{49170D64-023B-436B-8256-33C0BC4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4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2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a.org/Publications/Published-Books/CCD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7</cp:revision>
  <dcterms:created xsi:type="dcterms:W3CDTF">2022-11-22T21:13:00Z</dcterms:created>
  <dcterms:modified xsi:type="dcterms:W3CDTF">2023-09-07T18:45:00Z</dcterms:modified>
</cp:coreProperties>
</file>