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88F1" w14:textId="77777777" w:rsidR="007422AA" w:rsidRDefault="007422AA" w:rsidP="00E35FD3">
      <w:pPr>
        <w:rPr>
          <w:sz w:val="24"/>
          <w:szCs w:val="24"/>
        </w:rPr>
      </w:pPr>
    </w:p>
    <w:p w14:paraId="3BEB9729" w14:textId="2674A7C2" w:rsidR="00E35FD3" w:rsidRPr="00312087" w:rsidRDefault="00E35FD3" w:rsidP="00E35FD3">
      <w:pPr>
        <w:rPr>
          <w:sz w:val="24"/>
          <w:szCs w:val="24"/>
        </w:rPr>
      </w:pPr>
      <w:bookmarkStart w:id="0" w:name="_Hlk145336191"/>
      <w:r w:rsidRPr="00312087">
        <w:rPr>
          <w:sz w:val="24"/>
          <w:szCs w:val="24"/>
        </w:rPr>
        <w:t xml:space="preserve">The </w:t>
      </w:r>
      <w:bookmarkStart w:id="1" w:name="_Hlk144911138"/>
      <w:r w:rsidR="003E03ED">
        <w:rPr>
          <w:sz w:val="24"/>
          <w:szCs w:val="24"/>
        </w:rPr>
        <w:t>[</w:t>
      </w:r>
      <w:r w:rsidR="003E03ED" w:rsidRPr="005D3C4C">
        <w:rPr>
          <w:sz w:val="24"/>
          <w:szCs w:val="24"/>
          <w:highlight w:val="yellow"/>
        </w:rPr>
        <w:t>appropriate job role – CD nurse, clerk, Epi, etc.</w:t>
      </w:r>
      <w:r w:rsidR="003E03ED">
        <w:rPr>
          <w:sz w:val="24"/>
          <w:szCs w:val="24"/>
        </w:rPr>
        <w:t>]</w:t>
      </w:r>
      <w:bookmarkEnd w:id="1"/>
      <w:r w:rsidR="003E03ED" w:rsidRPr="0033182F">
        <w:rPr>
          <w:sz w:val="24"/>
          <w:szCs w:val="24"/>
        </w:rPr>
        <w:t xml:space="preserve"> </w:t>
      </w:r>
      <w:r w:rsidRPr="00312087">
        <w:rPr>
          <w:sz w:val="24"/>
          <w:szCs w:val="24"/>
        </w:rPr>
        <w:t xml:space="preserve">is reviewing MDSS entries and comes across a Legionella case </w:t>
      </w:r>
      <w:r w:rsidR="002461F6">
        <w:rPr>
          <w:sz w:val="24"/>
          <w:szCs w:val="24"/>
        </w:rPr>
        <w:t>for</w:t>
      </w:r>
      <w:r w:rsidRPr="00312087">
        <w:rPr>
          <w:sz w:val="24"/>
          <w:szCs w:val="24"/>
        </w:rPr>
        <w:t xml:space="preserve"> a 74yo female resident who began experiencing </w:t>
      </w:r>
      <w:r w:rsidR="005F3246">
        <w:rPr>
          <w:sz w:val="24"/>
          <w:szCs w:val="24"/>
        </w:rPr>
        <w:t xml:space="preserve">respiratory </w:t>
      </w:r>
      <w:r w:rsidRPr="00312087">
        <w:rPr>
          <w:sz w:val="24"/>
          <w:szCs w:val="24"/>
        </w:rPr>
        <w:t xml:space="preserve">symptoms four days prior to being admitted to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local hospital name</w:t>
      </w:r>
      <w:r w:rsidR="003E03ED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. The patient was diagnosed with pneumonia </w:t>
      </w:r>
      <w:r w:rsidR="005F3246" w:rsidRPr="005F3246">
        <w:rPr>
          <w:sz w:val="24"/>
          <w:szCs w:val="24"/>
        </w:rPr>
        <w:t>and a urinary antigen test was positive for legionella</w:t>
      </w:r>
      <w:r w:rsidRPr="00312087">
        <w:rPr>
          <w:sz w:val="24"/>
          <w:szCs w:val="24"/>
        </w:rPr>
        <w:t xml:space="preserve">. Antibiotics were initiated and symptoms improved. The patient was discharged to finish recovery at home. The </w:t>
      </w:r>
      <w:r w:rsidR="003E03ED">
        <w:rPr>
          <w:sz w:val="24"/>
          <w:szCs w:val="24"/>
        </w:rPr>
        <w:t>[</w:t>
      </w:r>
      <w:r w:rsidR="003E03ED" w:rsidRPr="005D3C4C">
        <w:rPr>
          <w:sz w:val="24"/>
          <w:szCs w:val="24"/>
          <w:highlight w:val="yellow"/>
        </w:rPr>
        <w:t>appropriate job role – CD nurse, clerk, Epi, etc.</w:t>
      </w:r>
      <w:r w:rsidR="003E03ED">
        <w:rPr>
          <w:sz w:val="24"/>
          <w:szCs w:val="24"/>
        </w:rPr>
        <w:t>]</w:t>
      </w:r>
      <w:r w:rsidR="003E03ED" w:rsidRPr="0033182F">
        <w:rPr>
          <w:sz w:val="24"/>
          <w:szCs w:val="24"/>
        </w:rPr>
        <w:t xml:space="preserve"> </w:t>
      </w:r>
      <w:r w:rsidRPr="00312087">
        <w:rPr>
          <w:sz w:val="24"/>
          <w:szCs w:val="24"/>
        </w:rPr>
        <w:t xml:space="preserve">initiated a call to the patient and was able to collect information to complete a case investigation. The patient reported a recent knee surgery due to a fall at home. Patient history included multiple visits to healthcare facilities for various follow-up appointments, including a stay at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name</w:t>
      </w:r>
      <w:r w:rsidR="003E03ED">
        <w:rPr>
          <w:sz w:val="24"/>
          <w:szCs w:val="24"/>
          <w:highlight w:val="yellow"/>
        </w:rPr>
        <w:t xml:space="preserve"> and location</w:t>
      </w:r>
      <w:r w:rsidR="003E03ED" w:rsidRPr="003E03ED">
        <w:rPr>
          <w:sz w:val="24"/>
          <w:szCs w:val="24"/>
          <w:highlight w:val="yellow"/>
        </w:rPr>
        <w:t xml:space="preserve"> of local rehab facility</w:t>
      </w:r>
      <w:r w:rsidR="003E03ED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 for reha</w:t>
      </w:r>
      <w:r>
        <w:rPr>
          <w:sz w:val="24"/>
          <w:szCs w:val="24"/>
        </w:rPr>
        <w:t xml:space="preserve">b. Other </w:t>
      </w:r>
      <w:r w:rsidR="005F3246">
        <w:rPr>
          <w:sz w:val="24"/>
          <w:szCs w:val="24"/>
        </w:rPr>
        <w:t>high-risk</w:t>
      </w:r>
      <w:r>
        <w:rPr>
          <w:sz w:val="24"/>
          <w:szCs w:val="24"/>
        </w:rPr>
        <w:t xml:space="preserve"> activities included </w:t>
      </w:r>
      <w:r w:rsidRPr="00312087">
        <w:rPr>
          <w:sz w:val="24"/>
          <w:szCs w:val="24"/>
        </w:rPr>
        <w:t xml:space="preserve">visits to a car wash, a hotel out of state, and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local mall name</w:t>
      </w:r>
      <w:r w:rsidR="003E03ED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 in the days leading up to her illness onset. </w:t>
      </w:r>
    </w:p>
    <w:p w14:paraId="5812C234" w14:textId="12DC79EB" w:rsidR="00E35FD3" w:rsidRDefault="00E35FD3" w:rsidP="00E35FD3">
      <w:pPr>
        <w:rPr>
          <w:sz w:val="24"/>
          <w:szCs w:val="24"/>
        </w:rPr>
      </w:pPr>
      <w:r w:rsidRPr="00312087">
        <w:rPr>
          <w:sz w:val="24"/>
          <w:szCs w:val="24"/>
        </w:rPr>
        <w:t xml:space="preserve">A </w:t>
      </w:r>
      <w:r w:rsidR="00D16C2F">
        <w:rPr>
          <w:sz w:val="24"/>
          <w:szCs w:val="24"/>
        </w:rPr>
        <w:t>few days</w:t>
      </w:r>
      <w:r w:rsidRPr="00312087">
        <w:rPr>
          <w:sz w:val="24"/>
          <w:szCs w:val="24"/>
        </w:rPr>
        <w:t xml:space="preserve"> after the </w:t>
      </w:r>
      <w:r w:rsidR="00D16C2F">
        <w:rPr>
          <w:sz w:val="24"/>
          <w:szCs w:val="24"/>
        </w:rPr>
        <w:t>initial</w:t>
      </w:r>
      <w:r>
        <w:rPr>
          <w:sz w:val="24"/>
          <w:szCs w:val="24"/>
        </w:rPr>
        <w:t xml:space="preserve"> case was interviewed, a second </w:t>
      </w:r>
      <w:r w:rsidR="00D16C2F">
        <w:rPr>
          <w:sz w:val="24"/>
          <w:szCs w:val="24"/>
        </w:rPr>
        <w:t xml:space="preserve">Livingston </w:t>
      </w:r>
      <w:r>
        <w:rPr>
          <w:sz w:val="24"/>
          <w:szCs w:val="24"/>
        </w:rPr>
        <w:t xml:space="preserve">case of Legionnaires appears in the MDSS queue. The </w:t>
      </w:r>
      <w:r w:rsidR="003E03ED">
        <w:rPr>
          <w:sz w:val="24"/>
          <w:szCs w:val="24"/>
        </w:rPr>
        <w:t>[</w:t>
      </w:r>
      <w:r w:rsidR="003E03ED" w:rsidRPr="005D3C4C">
        <w:rPr>
          <w:sz w:val="24"/>
          <w:szCs w:val="24"/>
          <w:highlight w:val="yellow"/>
        </w:rPr>
        <w:t>appropriate job role – CD nurse, clerk, Epi, etc.</w:t>
      </w:r>
      <w:r w:rsidR="003E03ED">
        <w:rPr>
          <w:sz w:val="24"/>
          <w:szCs w:val="24"/>
        </w:rPr>
        <w:t>]</w:t>
      </w:r>
      <w:r w:rsidR="003E03ED" w:rsidRPr="00331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reaches out and determines that this second case involves a 48yo male who recently traveled abroad prior to </w:t>
      </w:r>
      <w:r w:rsidR="005F3246">
        <w:rPr>
          <w:sz w:val="24"/>
          <w:szCs w:val="24"/>
        </w:rPr>
        <w:t xml:space="preserve">extensive </w:t>
      </w:r>
      <w:r>
        <w:rPr>
          <w:sz w:val="24"/>
          <w:szCs w:val="24"/>
        </w:rPr>
        <w:t xml:space="preserve">back surgery two weeks ago. Surgery took place out of county, but rehab took place locally. The case also reported visits to car washes, an outdoor waterpark, and a </w:t>
      </w:r>
      <w:r w:rsidR="005F3246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hotel stay. </w:t>
      </w:r>
    </w:p>
    <w:p w14:paraId="607BBEC8" w14:textId="66085557" w:rsidR="001C2742" w:rsidRDefault="005F3246">
      <w:r w:rsidRPr="005F3246">
        <w:rPr>
          <w:sz w:val="24"/>
          <w:szCs w:val="24"/>
        </w:rPr>
        <w:t xml:space="preserve">Within a few days, four additional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county name</w:t>
      </w:r>
      <w:r w:rsidR="003E03ED">
        <w:rPr>
          <w:sz w:val="24"/>
          <w:szCs w:val="24"/>
        </w:rPr>
        <w:t>]</w:t>
      </w:r>
      <w:r w:rsidRPr="005F3246">
        <w:rPr>
          <w:sz w:val="24"/>
          <w:szCs w:val="24"/>
        </w:rPr>
        <w:t xml:space="preserve"> </w:t>
      </w:r>
      <w:r w:rsidR="003E03ED">
        <w:rPr>
          <w:sz w:val="24"/>
          <w:szCs w:val="24"/>
        </w:rPr>
        <w:t>l</w:t>
      </w:r>
      <w:r w:rsidRPr="005F3246">
        <w:rPr>
          <w:sz w:val="24"/>
          <w:szCs w:val="24"/>
        </w:rPr>
        <w:t xml:space="preserve">egionnaires cases are entered into the queue. Upon expanding the search to include surrounding counties, five additional cases are identified in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neighboring county</w:t>
      </w:r>
      <w:r w:rsidR="003E03ED">
        <w:rPr>
          <w:sz w:val="24"/>
          <w:szCs w:val="24"/>
        </w:rPr>
        <w:t>]</w:t>
      </w:r>
      <w:r w:rsidRPr="005F3246">
        <w:rPr>
          <w:sz w:val="24"/>
          <w:szCs w:val="24"/>
        </w:rPr>
        <w:t xml:space="preserve"> and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neighboring county</w:t>
      </w:r>
      <w:r w:rsidR="003E03ED">
        <w:rPr>
          <w:sz w:val="24"/>
          <w:szCs w:val="24"/>
        </w:rPr>
        <w:t>]</w:t>
      </w:r>
      <w:r w:rsidRPr="005F3246">
        <w:rPr>
          <w:sz w:val="24"/>
          <w:szCs w:val="24"/>
        </w:rPr>
        <w:t xml:space="preserve"> with similar onset dates. All six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your county name</w:t>
      </w:r>
      <w:r w:rsidR="003E03ED">
        <w:rPr>
          <w:sz w:val="24"/>
          <w:szCs w:val="24"/>
        </w:rPr>
        <w:t>]</w:t>
      </w:r>
      <w:r w:rsidRPr="005F3246">
        <w:rPr>
          <w:sz w:val="24"/>
          <w:szCs w:val="24"/>
        </w:rPr>
        <w:t xml:space="preserve"> cases show a link between rehab stays at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name</w:t>
      </w:r>
      <w:r w:rsidR="003E03ED">
        <w:rPr>
          <w:sz w:val="24"/>
          <w:szCs w:val="24"/>
          <w:highlight w:val="yellow"/>
        </w:rPr>
        <w:t xml:space="preserve"> </w:t>
      </w:r>
      <w:r w:rsidR="003E03ED" w:rsidRPr="003E03ED">
        <w:rPr>
          <w:sz w:val="24"/>
          <w:szCs w:val="24"/>
          <w:highlight w:val="yellow"/>
        </w:rPr>
        <w:t>of local rehab facility</w:t>
      </w:r>
      <w:r w:rsidR="003E03ED">
        <w:rPr>
          <w:sz w:val="24"/>
          <w:szCs w:val="24"/>
        </w:rPr>
        <w:t>]</w:t>
      </w:r>
      <w:r w:rsidR="003E03ED" w:rsidRPr="00312087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5F3246">
        <w:rPr>
          <w:sz w:val="24"/>
          <w:szCs w:val="24"/>
        </w:rPr>
        <w:t xml:space="preserve"> report</w:t>
      </w:r>
      <w:r>
        <w:rPr>
          <w:sz w:val="24"/>
          <w:szCs w:val="24"/>
        </w:rPr>
        <w:t>ed</w:t>
      </w:r>
      <w:r w:rsidRPr="005F3246">
        <w:rPr>
          <w:sz w:val="24"/>
          <w:szCs w:val="24"/>
        </w:rPr>
        <w:t xml:space="preserve"> use of the water therapy room and Whirlpool tubs. In coordination with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neighboring county</w:t>
      </w:r>
      <w:r w:rsidR="003E03ED">
        <w:rPr>
          <w:sz w:val="24"/>
          <w:szCs w:val="24"/>
        </w:rPr>
        <w:t>]</w:t>
      </w:r>
      <w:r w:rsidR="003E03ED" w:rsidRPr="005F3246">
        <w:rPr>
          <w:sz w:val="24"/>
          <w:szCs w:val="24"/>
        </w:rPr>
        <w:t xml:space="preserve"> and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neighboring county</w:t>
      </w:r>
      <w:r w:rsidR="003E03ED">
        <w:rPr>
          <w:sz w:val="24"/>
          <w:szCs w:val="24"/>
        </w:rPr>
        <w:t>]</w:t>
      </w:r>
      <w:r w:rsidR="003E03ED">
        <w:rPr>
          <w:sz w:val="24"/>
          <w:szCs w:val="24"/>
        </w:rPr>
        <w:t xml:space="preserve"> </w:t>
      </w:r>
      <w:r w:rsidRPr="005F3246">
        <w:rPr>
          <w:sz w:val="24"/>
          <w:szCs w:val="24"/>
        </w:rPr>
        <w:t xml:space="preserve">Health Departments, it is confirmed that their five cases also recently rehabbed at </w:t>
      </w:r>
      <w:r w:rsidR="003E03ED">
        <w:rPr>
          <w:sz w:val="24"/>
          <w:szCs w:val="24"/>
        </w:rPr>
        <w:t>[</w:t>
      </w:r>
      <w:r w:rsidR="003E03ED" w:rsidRPr="003E03ED">
        <w:rPr>
          <w:sz w:val="24"/>
          <w:szCs w:val="24"/>
          <w:highlight w:val="yellow"/>
        </w:rPr>
        <w:t>name</w:t>
      </w:r>
      <w:r w:rsidR="003E03ED">
        <w:rPr>
          <w:sz w:val="24"/>
          <w:szCs w:val="24"/>
          <w:highlight w:val="yellow"/>
        </w:rPr>
        <w:t xml:space="preserve"> </w:t>
      </w:r>
      <w:r w:rsidR="003E03ED" w:rsidRPr="003E03ED">
        <w:rPr>
          <w:sz w:val="24"/>
          <w:szCs w:val="24"/>
          <w:highlight w:val="yellow"/>
        </w:rPr>
        <w:t>of local rehab facility</w:t>
      </w:r>
      <w:r w:rsidR="003E03ED">
        <w:rPr>
          <w:sz w:val="24"/>
          <w:szCs w:val="24"/>
        </w:rPr>
        <w:t>]</w:t>
      </w:r>
      <w:r w:rsidR="003E03ED" w:rsidRPr="00312087">
        <w:rPr>
          <w:sz w:val="24"/>
          <w:szCs w:val="24"/>
        </w:rPr>
        <w:t xml:space="preserve"> </w:t>
      </w:r>
      <w:r w:rsidRPr="005F3246">
        <w:rPr>
          <w:sz w:val="24"/>
          <w:szCs w:val="24"/>
        </w:rPr>
        <w:t xml:space="preserve">bringing the total number of associated cases to 11.  </w:t>
      </w:r>
    </w:p>
    <w:bookmarkEnd w:id="0"/>
    <w:p w14:paraId="303BF749" w14:textId="77777777" w:rsidR="00C67F3B" w:rsidRDefault="00C67F3B"/>
    <w:p w14:paraId="733C7643" w14:textId="77777777" w:rsidR="00C67F3B" w:rsidRPr="002E5003" w:rsidRDefault="00C67F3B" w:rsidP="00C67F3B">
      <w:pPr>
        <w:spacing w:after="0" w:line="240" w:lineRule="auto"/>
        <w:rPr>
          <w:b/>
          <w:bCs/>
          <w:sz w:val="24"/>
          <w:szCs w:val="24"/>
        </w:rPr>
      </w:pPr>
      <w:bookmarkStart w:id="2" w:name="_Hlk145063259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223F89FC" w14:textId="77777777" w:rsidR="003E03ED" w:rsidRPr="002E5003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3" w:name="_Hlk144906743"/>
      <w:bookmarkStart w:id="4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3"/>
    <w:p w14:paraId="7A9D4D07" w14:textId="77777777" w:rsidR="003E03ED" w:rsidRPr="002E5003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5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5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7FA1067E" w14:textId="77777777" w:rsidR="003E03ED" w:rsidRPr="002E5003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6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F8300D7" w14:textId="77777777" w:rsidR="003E03ED" w:rsidRPr="002E5003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7" w:name="_Hlk144906821"/>
      <w:bookmarkEnd w:id="6"/>
      <w:r w:rsidRPr="002E5003">
        <w:rPr>
          <w:sz w:val="24"/>
          <w:szCs w:val="24"/>
        </w:rPr>
        <w:lastRenderedPageBreak/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7"/>
    <w:p w14:paraId="3FC415B1" w14:textId="77777777" w:rsidR="003E03ED" w:rsidRPr="00FC710D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6080FC1E" w14:textId="77777777" w:rsidR="003E03ED" w:rsidRDefault="003E03ED" w:rsidP="003E03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4"/>
    <w:p w14:paraId="5B221239" w14:textId="77777777" w:rsidR="00C67F3B" w:rsidRDefault="00C67F3B" w:rsidP="00C67F3B">
      <w:pPr>
        <w:spacing w:after="0" w:line="240" w:lineRule="auto"/>
        <w:rPr>
          <w:sz w:val="24"/>
          <w:szCs w:val="24"/>
        </w:rPr>
      </w:pPr>
    </w:p>
    <w:bookmarkEnd w:id="2"/>
    <w:p w14:paraId="18FD508F" w14:textId="77777777" w:rsidR="00C67F3B" w:rsidRDefault="00C67F3B" w:rsidP="00C67F3B">
      <w:pPr>
        <w:spacing w:after="0" w:line="240" w:lineRule="auto"/>
        <w:rPr>
          <w:sz w:val="24"/>
          <w:szCs w:val="24"/>
        </w:rPr>
      </w:pPr>
    </w:p>
    <w:p w14:paraId="09ABAA9C" w14:textId="77777777" w:rsidR="00C67F3B" w:rsidRPr="006608EB" w:rsidRDefault="00C67F3B" w:rsidP="00C67F3B">
      <w:pPr>
        <w:spacing w:after="0" w:line="240" w:lineRule="auto"/>
        <w:rPr>
          <w:b/>
          <w:bCs/>
          <w:sz w:val="24"/>
          <w:szCs w:val="24"/>
        </w:rPr>
      </w:pPr>
      <w:bookmarkStart w:id="8" w:name="_Hlk145063267"/>
      <w:r w:rsidRPr="006608EB">
        <w:rPr>
          <w:b/>
          <w:bCs/>
          <w:sz w:val="24"/>
          <w:szCs w:val="24"/>
        </w:rPr>
        <w:t>Intended Audience</w:t>
      </w:r>
    </w:p>
    <w:p w14:paraId="19BCD600" w14:textId="2B5A4495" w:rsidR="00C67F3B" w:rsidRDefault="00C67F3B" w:rsidP="00C67F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Health Officer, </w:t>
      </w:r>
      <w:r w:rsidRPr="00D16C2F">
        <w:rPr>
          <w:sz w:val="24"/>
          <w:szCs w:val="24"/>
        </w:rPr>
        <w:t>Medical Director, EH</w:t>
      </w:r>
      <w:r>
        <w:rPr>
          <w:sz w:val="24"/>
          <w:szCs w:val="24"/>
        </w:rPr>
        <w:t xml:space="preserve"> Director, PPHS Director, Nursing Supervisor, EPC, Health Promotions Coordinator, </w:t>
      </w:r>
      <w:r w:rsidR="00003D10">
        <w:rPr>
          <w:szCs w:val="24"/>
        </w:rPr>
        <w:t>EH Program Coordinator,</w:t>
      </w:r>
      <w:r w:rsidR="00003D10">
        <w:rPr>
          <w:sz w:val="24"/>
          <w:szCs w:val="24"/>
        </w:rPr>
        <w:t xml:space="preserve"> </w:t>
      </w:r>
      <w:r>
        <w:rPr>
          <w:sz w:val="24"/>
          <w:szCs w:val="24"/>
        </w:rPr>
        <w:t>EH Specialist</w:t>
      </w:r>
    </w:p>
    <w:p w14:paraId="67BDB102" w14:textId="77777777" w:rsidR="00C67F3B" w:rsidRDefault="00C67F3B"/>
    <w:p w14:paraId="76A48834" w14:textId="77777777" w:rsidR="00C67F3B" w:rsidRDefault="00C67F3B"/>
    <w:p w14:paraId="2E25821D" w14:textId="77777777" w:rsidR="00C67F3B" w:rsidRDefault="00C67F3B" w:rsidP="00C67F3B">
      <w:pPr>
        <w:spacing w:after="0" w:line="240" w:lineRule="auto"/>
        <w:rPr>
          <w:b/>
          <w:bCs/>
          <w:sz w:val="24"/>
          <w:szCs w:val="24"/>
        </w:rPr>
      </w:pPr>
      <w:bookmarkStart w:id="9" w:name="_Hlk145661389"/>
      <w:r w:rsidRPr="00DA74FA">
        <w:rPr>
          <w:b/>
          <w:bCs/>
          <w:sz w:val="24"/>
          <w:szCs w:val="24"/>
        </w:rPr>
        <w:t>Possible Reference Materials</w:t>
      </w:r>
    </w:p>
    <w:bookmarkStart w:id="10" w:name="_Hlk125551856"/>
    <w:p w14:paraId="6FFD5EBC" w14:textId="77777777" w:rsidR="00C67F3B" w:rsidRDefault="00C67F3B" w:rsidP="00C67F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p w14:paraId="7A4FC380" w14:textId="529D1614" w:rsidR="007422AA" w:rsidRPr="007422AA" w:rsidRDefault="00FA448A" w:rsidP="00C67F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7" w:history="1">
        <w:r w:rsidR="007422AA" w:rsidRPr="007422AA">
          <w:rPr>
            <w:rStyle w:val="Hyperlink"/>
            <w:sz w:val="24"/>
            <w:szCs w:val="24"/>
          </w:rPr>
          <w:t>CDC Legionella Page</w:t>
        </w:r>
      </w:hyperlink>
    </w:p>
    <w:p w14:paraId="66284815" w14:textId="1EF6BA24" w:rsidR="00C67F3B" w:rsidRPr="00F35469" w:rsidRDefault="00FA448A" w:rsidP="00C67F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8" w:history="1">
        <w:r w:rsidR="00C67F3B" w:rsidRPr="00AC2C05">
          <w:rPr>
            <w:rStyle w:val="Hyperlink"/>
            <w:sz w:val="24"/>
            <w:szCs w:val="24"/>
          </w:rPr>
          <w:t>MDHHS A-Z Page</w:t>
        </w:r>
      </w:hyperlink>
      <w:r w:rsidR="00C67F3B" w:rsidRPr="00F35469">
        <w:rPr>
          <w:sz w:val="24"/>
          <w:szCs w:val="24"/>
        </w:rPr>
        <w:t xml:space="preserve"> – </w:t>
      </w:r>
      <w:r w:rsidR="00C67F3B">
        <w:rPr>
          <w:sz w:val="24"/>
          <w:szCs w:val="24"/>
        </w:rPr>
        <w:t xml:space="preserve">Page </w:t>
      </w:r>
      <w:r w:rsidR="00CB0B70">
        <w:rPr>
          <w:sz w:val="24"/>
          <w:szCs w:val="24"/>
        </w:rPr>
        <w:t>15</w:t>
      </w:r>
      <w:r w:rsidR="00C67F3B">
        <w:rPr>
          <w:sz w:val="24"/>
          <w:szCs w:val="24"/>
        </w:rPr>
        <w:t xml:space="preserve"> </w:t>
      </w:r>
    </w:p>
    <w:p w14:paraId="32623C26" w14:textId="62A49C38" w:rsidR="00C67F3B" w:rsidRPr="00F35469" w:rsidRDefault="00FA448A" w:rsidP="00C67F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9" w:history="1">
        <w:r w:rsidR="00CB0B70" w:rsidRPr="00CB0B70">
          <w:rPr>
            <w:rStyle w:val="Hyperlink"/>
            <w:sz w:val="24"/>
            <w:szCs w:val="24"/>
          </w:rPr>
          <w:t>MDHHS Surveillance and Investigation Protocol for Legionellosis</w:t>
        </w:r>
      </w:hyperlink>
      <w:r w:rsidR="00CB0B70">
        <w:rPr>
          <w:sz w:val="24"/>
          <w:szCs w:val="24"/>
        </w:rPr>
        <w:t xml:space="preserve"> </w:t>
      </w:r>
    </w:p>
    <w:p w14:paraId="206DC4D9" w14:textId="07F4B278" w:rsidR="00C67F3B" w:rsidRDefault="00C67F3B" w:rsidP="00CB0B70">
      <w:pPr>
        <w:pStyle w:val="ListParagraph"/>
        <w:numPr>
          <w:ilvl w:val="0"/>
          <w:numId w:val="2"/>
        </w:numPr>
        <w:spacing w:after="0" w:line="240" w:lineRule="auto"/>
      </w:pPr>
      <w:r w:rsidRPr="00CB0B70">
        <w:rPr>
          <w:sz w:val="24"/>
          <w:szCs w:val="24"/>
        </w:rPr>
        <w:t>LCHD CD Manual –</w:t>
      </w:r>
      <w:bookmarkEnd w:id="10"/>
      <w:r w:rsidRPr="00CB0B70">
        <w:rPr>
          <w:sz w:val="24"/>
          <w:szCs w:val="24"/>
        </w:rPr>
        <w:t xml:space="preserve"> </w:t>
      </w:r>
      <w:hyperlink r:id="rId10" w:history="1">
        <w:r w:rsidR="00CB0B70" w:rsidRPr="00CB0B70">
          <w:rPr>
            <w:rStyle w:val="Hyperlink"/>
          </w:rPr>
          <w:t>S:\PPHS\CD\CD Manual\Reportable Conditions\Legionellosis</w:t>
        </w:r>
      </w:hyperlink>
      <w:bookmarkEnd w:id="8"/>
      <w:bookmarkEnd w:id="9"/>
    </w:p>
    <w:sectPr w:rsidR="00C67F3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7A21" w14:textId="77777777" w:rsidR="00C67F3B" w:rsidRDefault="00C67F3B" w:rsidP="00C67F3B">
      <w:pPr>
        <w:spacing w:after="0" w:line="240" w:lineRule="auto"/>
      </w:pPr>
      <w:r>
        <w:separator/>
      </w:r>
    </w:p>
  </w:endnote>
  <w:endnote w:type="continuationSeparator" w:id="0">
    <w:p w14:paraId="081586B3" w14:textId="77777777" w:rsidR="00C67F3B" w:rsidRDefault="00C67F3B" w:rsidP="00C6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FAB3" w14:textId="77777777" w:rsidR="00C67F3B" w:rsidRDefault="00C67F3B" w:rsidP="00C67F3B">
      <w:pPr>
        <w:spacing w:after="0" w:line="240" w:lineRule="auto"/>
      </w:pPr>
      <w:r>
        <w:separator/>
      </w:r>
    </w:p>
  </w:footnote>
  <w:footnote w:type="continuationSeparator" w:id="0">
    <w:p w14:paraId="7E0883F1" w14:textId="77777777" w:rsidR="00C67F3B" w:rsidRDefault="00C67F3B" w:rsidP="00C6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D97" w14:textId="17070E62" w:rsidR="00C67F3B" w:rsidRDefault="00C67F3B" w:rsidP="00C67F3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213E0E">
      <w:rPr>
        <w:b/>
        <w:bCs/>
        <w:sz w:val="32"/>
        <w:szCs w:val="32"/>
      </w:rPr>
      <w:t>Legionnaires</w:t>
    </w:r>
  </w:p>
  <w:p w14:paraId="3F637E2C" w14:textId="77777777" w:rsidR="00FA448A" w:rsidRPr="00BB2272" w:rsidRDefault="00FA448A" w:rsidP="00FA448A">
    <w:pPr>
      <w:pStyle w:val="Header"/>
      <w:jc w:val="center"/>
      <w:rPr>
        <w:sz w:val="28"/>
        <w:szCs w:val="28"/>
      </w:rPr>
    </w:pPr>
    <w:bookmarkStart w:id="11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11"/>
  <w:p w14:paraId="483A74F3" w14:textId="3B8588C6" w:rsidR="00C67F3B" w:rsidRPr="006041CB" w:rsidRDefault="00C67F3B" w:rsidP="00C67F3B">
    <w:pPr>
      <w:pStyle w:val="Header"/>
      <w:jc w:val="center"/>
      <w:rPr>
        <w:b/>
        <w:bCs/>
        <w:i/>
        <w:iCs/>
        <w:sz w:val="28"/>
        <w:szCs w:val="28"/>
      </w:rPr>
    </w:pPr>
    <w:r w:rsidRPr="006041CB">
      <w:rPr>
        <w:b/>
        <w:bCs/>
        <w:i/>
        <w:iCs/>
        <w:sz w:val="28"/>
        <w:szCs w:val="28"/>
      </w:rPr>
      <w:t>Scenario and Objectives</w:t>
    </w:r>
    <w:r>
      <w:rPr>
        <w:b/>
        <w:bCs/>
        <w:i/>
        <w:iCs/>
        <w:sz w:val="28"/>
        <w:szCs w:val="28"/>
      </w:rPr>
      <w:t xml:space="preserve"> for Exercise </w:t>
    </w:r>
    <w:r w:rsidR="00003D10">
      <w:rPr>
        <w:b/>
        <w:bCs/>
        <w:i/>
        <w:iCs/>
        <w:sz w:val="28"/>
        <w:szCs w:val="28"/>
      </w:rPr>
      <w:t>Lead</w:t>
    </w:r>
  </w:p>
  <w:p w14:paraId="6B01DD9A" w14:textId="77777777" w:rsidR="00C67F3B" w:rsidRDefault="00C67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7360">
    <w:abstractNumId w:val="0"/>
  </w:num>
  <w:num w:numId="2" w16cid:durableId="172471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3"/>
    <w:rsid w:val="00003D10"/>
    <w:rsid w:val="000A5378"/>
    <w:rsid w:val="001C2742"/>
    <w:rsid w:val="00213E0E"/>
    <w:rsid w:val="002461F6"/>
    <w:rsid w:val="002F01D6"/>
    <w:rsid w:val="003E03ED"/>
    <w:rsid w:val="00523613"/>
    <w:rsid w:val="005F3246"/>
    <w:rsid w:val="00714B55"/>
    <w:rsid w:val="007422AA"/>
    <w:rsid w:val="00AC4C80"/>
    <w:rsid w:val="00B34C72"/>
    <w:rsid w:val="00C67F3B"/>
    <w:rsid w:val="00CB0B70"/>
    <w:rsid w:val="00D0756D"/>
    <w:rsid w:val="00D16C2F"/>
    <w:rsid w:val="00E35FD3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71B8"/>
  <w15:chartTrackingRefBased/>
  <w15:docId w15:val="{47861A24-FF40-431A-8B28-A7B57029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FD3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378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005B99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78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1EB53A"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378"/>
    <w:pPr>
      <w:keepNext/>
      <w:keepLines/>
      <w:spacing w:after="0" w:line="240" w:lineRule="auto"/>
      <w:outlineLvl w:val="2"/>
    </w:pPr>
    <w:rPr>
      <w:rFonts w:eastAsiaTheme="majorEastAsia" w:cstheme="majorBidi"/>
      <w:i/>
      <w:color w:val="005B99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78"/>
    <w:rPr>
      <w:rFonts w:ascii="Calibri" w:eastAsiaTheme="majorEastAsia" w:hAnsi="Calibri" w:cstheme="majorBidi"/>
      <w:b/>
      <w:color w:val="005B9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378"/>
    <w:rPr>
      <w:rFonts w:ascii="Calibri" w:eastAsiaTheme="majorEastAsia" w:hAnsi="Calibri" w:cstheme="majorBidi"/>
      <w:b/>
      <w:color w:val="1EB53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378"/>
    <w:rPr>
      <w:rFonts w:ascii="Calibri" w:eastAsiaTheme="majorEastAsia" w:hAnsi="Calibri" w:cstheme="majorBidi"/>
      <w:i/>
      <w:color w:val="005B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3B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F3B"/>
    <w:rPr>
      <w:rFonts w:eastAsiaTheme="minorHAns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67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F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B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keep-mi-healthy/communicablediseases/recentupdates/diseaselis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egionell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S:\PPHS\CD\CD%20Manual\Reportable%20Conditions\Legionello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3/Folder98/Folder2/Folder198/Folder1/Folder298/LegionellosisSurveillance_InvestigationProtocol_July_2019.pdf?rev=9fd11f5f68904fe58619c6af0a633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2023-09-08T13:53:00Z</dcterms:created>
  <dcterms:modified xsi:type="dcterms:W3CDTF">2023-09-26T20:47:00Z</dcterms:modified>
</cp:coreProperties>
</file>