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5E3C" w14:textId="0D2915A4" w:rsidR="00C24CA1" w:rsidRPr="00C24CA1" w:rsidRDefault="00C24CA1" w:rsidP="00780C7C">
      <w:pPr>
        <w:pStyle w:val="ListParagraph"/>
        <w:ind w:left="0"/>
        <w:rPr>
          <w:b/>
          <w:bCs/>
          <w:sz w:val="24"/>
          <w:szCs w:val="24"/>
        </w:rPr>
      </w:pPr>
      <w:bookmarkStart w:id="0" w:name="_Hlk132791749"/>
      <w:r w:rsidRPr="00C24CA1">
        <w:rPr>
          <w:b/>
          <w:bCs/>
          <w:sz w:val="24"/>
          <w:szCs w:val="24"/>
        </w:rPr>
        <w:t>Scenario</w:t>
      </w:r>
    </w:p>
    <w:p w14:paraId="7B594ACF" w14:textId="17616C31" w:rsidR="00780C7C" w:rsidRDefault="005A09D4" w:rsidP="00780C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="001E4B0B">
        <w:rPr>
          <w:sz w:val="24"/>
          <w:szCs w:val="24"/>
        </w:rPr>
        <w:t>Wednesday</w:t>
      </w:r>
      <w:r w:rsidR="00780C7C" w:rsidRPr="00312087">
        <w:rPr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 w:rsidR="00780C7C" w:rsidRPr="00312087">
        <w:rPr>
          <w:sz w:val="24"/>
          <w:szCs w:val="24"/>
        </w:rPr>
        <w:t xml:space="preserve"> </w:t>
      </w:r>
      <w:r w:rsidR="00AB7F0B">
        <w:rPr>
          <w:sz w:val="24"/>
          <w:szCs w:val="24"/>
        </w:rPr>
        <w:t xml:space="preserve">the </w:t>
      </w:r>
      <w:r w:rsidR="00C24CA1">
        <w:rPr>
          <w:sz w:val="24"/>
          <w:szCs w:val="24"/>
        </w:rPr>
        <w:t>[</w:t>
      </w:r>
      <w:r w:rsidR="00C24CA1" w:rsidRPr="00C24CA1">
        <w:rPr>
          <w:sz w:val="24"/>
          <w:szCs w:val="24"/>
          <w:highlight w:val="yellow"/>
        </w:rPr>
        <w:t>Name of popular event in your county</w:t>
      </w:r>
      <w:r w:rsidR="00C24CA1">
        <w:rPr>
          <w:sz w:val="24"/>
          <w:szCs w:val="24"/>
        </w:rPr>
        <w:t>]</w:t>
      </w:r>
      <w:r w:rsidR="00AB7F0B">
        <w:rPr>
          <w:sz w:val="24"/>
          <w:szCs w:val="24"/>
        </w:rPr>
        <w:t>,</w:t>
      </w:r>
      <w:r w:rsidR="00780C7C" w:rsidRPr="00312087">
        <w:rPr>
          <w:sz w:val="24"/>
          <w:szCs w:val="24"/>
        </w:rPr>
        <w:t xml:space="preserve"> the </w:t>
      </w:r>
      <w:r w:rsidR="00C24CA1">
        <w:rPr>
          <w:sz w:val="24"/>
          <w:szCs w:val="24"/>
        </w:rPr>
        <w:t>[</w:t>
      </w:r>
      <w:r w:rsidR="00C24CA1" w:rsidRPr="00C24CA1">
        <w:rPr>
          <w:sz w:val="24"/>
          <w:szCs w:val="24"/>
          <w:highlight w:val="yellow"/>
        </w:rPr>
        <w:t>responsible staff member/team</w:t>
      </w:r>
      <w:r w:rsidR="00C24CA1">
        <w:rPr>
          <w:sz w:val="24"/>
          <w:szCs w:val="24"/>
        </w:rPr>
        <w:t>]</w:t>
      </w:r>
      <w:r w:rsidR="00780C7C" w:rsidRPr="00312087">
        <w:rPr>
          <w:sz w:val="24"/>
          <w:szCs w:val="24"/>
        </w:rPr>
        <w:t xml:space="preserve"> is checking MDSS for new reports and comes across a </w:t>
      </w:r>
      <w:r w:rsidR="00AB7F0B">
        <w:rPr>
          <w:sz w:val="24"/>
          <w:szCs w:val="24"/>
        </w:rPr>
        <w:t>5</w:t>
      </w:r>
      <w:r w:rsidR="00780C7C" w:rsidRPr="00312087">
        <w:rPr>
          <w:sz w:val="24"/>
          <w:szCs w:val="24"/>
        </w:rPr>
        <w:t xml:space="preserve">yo male with </w:t>
      </w:r>
      <w:r w:rsidR="00AB7F0B" w:rsidRPr="00AB7F0B">
        <w:rPr>
          <w:sz w:val="24"/>
          <w:szCs w:val="24"/>
        </w:rPr>
        <w:t xml:space="preserve">Shiga toxin-producing E. coli </w:t>
      </w:r>
      <w:r w:rsidR="00AB7F0B">
        <w:rPr>
          <w:sz w:val="24"/>
          <w:szCs w:val="24"/>
        </w:rPr>
        <w:t>(</w:t>
      </w:r>
      <w:r w:rsidR="00AB7F0B" w:rsidRPr="00312087">
        <w:rPr>
          <w:sz w:val="24"/>
          <w:szCs w:val="24"/>
        </w:rPr>
        <w:t>STEC</w:t>
      </w:r>
      <w:r w:rsidR="00AB7F0B">
        <w:rPr>
          <w:sz w:val="24"/>
          <w:szCs w:val="24"/>
        </w:rPr>
        <w:t>)</w:t>
      </w:r>
      <w:r w:rsidR="00780C7C" w:rsidRPr="00312087">
        <w:rPr>
          <w:sz w:val="24"/>
          <w:szCs w:val="24"/>
        </w:rPr>
        <w:t xml:space="preserve">. While reviewing the case notes in MDSS, the </w:t>
      </w:r>
      <w:r w:rsidR="00C24CA1">
        <w:rPr>
          <w:sz w:val="24"/>
          <w:szCs w:val="24"/>
        </w:rPr>
        <w:t>[</w:t>
      </w:r>
      <w:r w:rsidR="00C24CA1" w:rsidRPr="00C24CA1">
        <w:rPr>
          <w:sz w:val="24"/>
          <w:szCs w:val="24"/>
          <w:highlight w:val="yellow"/>
        </w:rPr>
        <w:t>staff member</w:t>
      </w:r>
      <w:r w:rsidR="00C24CA1">
        <w:rPr>
          <w:sz w:val="24"/>
          <w:szCs w:val="24"/>
        </w:rPr>
        <w:t>]</w:t>
      </w:r>
      <w:r w:rsidR="00780C7C" w:rsidRPr="00312087">
        <w:rPr>
          <w:sz w:val="24"/>
          <w:szCs w:val="24"/>
        </w:rPr>
        <w:t xml:space="preserve"> notices a second </w:t>
      </w:r>
      <w:r w:rsidR="00AB7F0B" w:rsidRPr="00312087">
        <w:rPr>
          <w:sz w:val="24"/>
          <w:szCs w:val="24"/>
        </w:rPr>
        <w:t xml:space="preserve">STEC </w:t>
      </w:r>
      <w:r w:rsidR="00780C7C" w:rsidRPr="00312087">
        <w:rPr>
          <w:sz w:val="24"/>
          <w:szCs w:val="24"/>
        </w:rPr>
        <w:t xml:space="preserve">case </w:t>
      </w:r>
      <w:r>
        <w:rPr>
          <w:sz w:val="24"/>
          <w:szCs w:val="24"/>
        </w:rPr>
        <w:t>further down on</w:t>
      </w:r>
      <w:r w:rsidR="00780C7C" w:rsidRPr="00312087">
        <w:rPr>
          <w:sz w:val="24"/>
          <w:szCs w:val="24"/>
        </w:rPr>
        <w:t xml:space="preserve"> the queue </w:t>
      </w:r>
      <w:r w:rsidR="00AB7F0B">
        <w:rPr>
          <w:sz w:val="24"/>
          <w:szCs w:val="24"/>
        </w:rPr>
        <w:t>–</w:t>
      </w:r>
      <w:r w:rsidR="00780C7C" w:rsidRPr="00312087">
        <w:rPr>
          <w:sz w:val="24"/>
          <w:szCs w:val="24"/>
        </w:rPr>
        <w:t xml:space="preserve"> a 29yo male</w:t>
      </w:r>
      <w:r w:rsidR="00AB7F0B">
        <w:rPr>
          <w:sz w:val="24"/>
          <w:szCs w:val="24"/>
        </w:rPr>
        <w:t xml:space="preserve"> with a different last name</w:t>
      </w:r>
      <w:r w:rsidR="00780C7C" w:rsidRPr="00312087">
        <w:rPr>
          <w:sz w:val="24"/>
          <w:szCs w:val="24"/>
        </w:rPr>
        <w:t xml:space="preserve">. The CD </w:t>
      </w:r>
      <w:r w:rsidR="0054636F">
        <w:rPr>
          <w:sz w:val="24"/>
          <w:szCs w:val="24"/>
        </w:rPr>
        <w:t>N</w:t>
      </w:r>
      <w:r w:rsidR="00780C7C" w:rsidRPr="00312087">
        <w:rPr>
          <w:sz w:val="24"/>
          <w:szCs w:val="24"/>
        </w:rPr>
        <w:t xml:space="preserve">urse begins the case investigation process and learns that the two cases </w:t>
      </w:r>
      <w:r w:rsidR="00780C7C">
        <w:rPr>
          <w:sz w:val="24"/>
          <w:szCs w:val="24"/>
        </w:rPr>
        <w:t>are</w:t>
      </w:r>
      <w:r w:rsidR="00780C7C" w:rsidRPr="00312087">
        <w:rPr>
          <w:sz w:val="24"/>
          <w:szCs w:val="24"/>
        </w:rPr>
        <w:t xml:space="preserve"> not related </w:t>
      </w:r>
      <w:r>
        <w:rPr>
          <w:sz w:val="24"/>
          <w:szCs w:val="24"/>
        </w:rPr>
        <w:t xml:space="preserve">and do not live in the same household, </w:t>
      </w:r>
      <w:r w:rsidR="00780C7C" w:rsidRPr="00312087">
        <w:rPr>
          <w:sz w:val="24"/>
          <w:szCs w:val="24"/>
        </w:rPr>
        <w:t xml:space="preserve">but </w:t>
      </w:r>
      <w:r>
        <w:rPr>
          <w:sz w:val="24"/>
          <w:szCs w:val="24"/>
        </w:rPr>
        <w:t xml:space="preserve">they do </w:t>
      </w:r>
      <w:r w:rsidR="00780C7C" w:rsidRPr="00312087">
        <w:rPr>
          <w:sz w:val="24"/>
          <w:szCs w:val="24"/>
        </w:rPr>
        <w:t xml:space="preserve">have </w:t>
      </w:r>
      <w:r w:rsidR="00CF0585">
        <w:rPr>
          <w:sz w:val="24"/>
          <w:szCs w:val="24"/>
        </w:rPr>
        <w:t xml:space="preserve">some </w:t>
      </w:r>
      <w:r w:rsidR="00780C7C" w:rsidRPr="00312087">
        <w:rPr>
          <w:sz w:val="24"/>
          <w:szCs w:val="24"/>
        </w:rPr>
        <w:t xml:space="preserve">common food history trends. </w:t>
      </w:r>
    </w:p>
    <w:p w14:paraId="1DA2B63D" w14:textId="77777777" w:rsidR="005A09D4" w:rsidRDefault="005A09D4" w:rsidP="00780C7C">
      <w:pPr>
        <w:pStyle w:val="ListParagraph"/>
        <w:ind w:left="0"/>
        <w:rPr>
          <w:sz w:val="24"/>
          <w:szCs w:val="24"/>
        </w:rPr>
      </w:pPr>
    </w:p>
    <w:p w14:paraId="1570EFFF" w14:textId="11209679" w:rsidR="001E4B0B" w:rsidRDefault="005A09D4" w:rsidP="00780C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</w:t>
      </w:r>
      <w:r w:rsidR="00780C7C" w:rsidRPr="00312087">
        <w:rPr>
          <w:sz w:val="24"/>
          <w:szCs w:val="24"/>
        </w:rPr>
        <w:t xml:space="preserve"> CD Nurse </w:t>
      </w:r>
      <w:r w:rsidR="0054636F">
        <w:rPr>
          <w:sz w:val="24"/>
          <w:szCs w:val="24"/>
        </w:rPr>
        <w:t>learns</w:t>
      </w:r>
      <w:r w:rsidR="001E4B0B">
        <w:rPr>
          <w:sz w:val="24"/>
          <w:szCs w:val="24"/>
        </w:rPr>
        <w:t xml:space="preserve"> that</w:t>
      </w:r>
      <w:r w:rsidR="00780C7C" w:rsidRPr="00312087">
        <w:rPr>
          <w:sz w:val="24"/>
          <w:szCs w:val="24"/>
        </w:rPr>
        <w:t xml:space="preserve"> the two </w:t>
      </w:r>
      <w:r w:rsidR="001E4B0B">
        <w:rPr>
          <w:sz w:val="24"/>
          <w:szCs w:val="24"/>
        </w:rPr>
        <w:t>families</w:t>
      </w:r>
      <w:r w:rsidR="00780C7C" w:rsidRPr="00312087">
        <w:rPr>
          <w:sz w:val="24"/>
          <w:szCs w:val="24"/>
        </w:rPr>
        <w:t xml:space="preserve"> both report recent food histories of visits to </w:t>
      </w:r>
      <w:r>
        <w:rPr>
          <w:sz w:val="24"/>
          <w:szCs w:val="24"/>
        </w:rPr>
        <w:t xml:space="preserve">local </w:t>
      </w:r>
      <w:r w:rsidR="00780C7C" w:rsidRPr="00312087">
        <w:rPr>
          <w:sz w:val="24"/>
          <w:szCs w:val="24"/>
        </w:rPr>
        <w:t xml:space="preserve">restaurants, farmer’s markets, </w:t>
      </w:r>
      <w:r w:rsidR="00CF0585">
        <w:rPr>
          <w:sz w:val="24"/>
          <w:szCs w:val="24"/>
        </w:rPr>
        <w:t xml:space="preserve">cider mills, </w:t>
      </w:r>
      <w:r w:rsidR="00780C7C" w:rsidRPr="00312087">
        <w:rPr>
          <w:sz w:val="24"/>
          <w:szCs w:val="24"/>
        </w:rPr>
        <w:t>and other food-related activities including</w:t>
      </w:r>
      <w:r w:rsidR="001E4B0B">
        <w:rPr>
          <w:sz w:val="24"/>
          <w:szCs w:val="24"/>
        </w:rPr>
        <w:t xml:space="preserve"> the</w:t>
      </w:r>
      <w:r w:rsidR="00780C7C" w:rsidRPr="00312087">
        <w:rPr>
          <w:sz w:val="24"/>
          <w:szCs w:val="24"/>
        </w:rPr>
        <w:t xml:space="preserve"> </w:t>
      </w:r>
      <w:r w:rsidR="0054636F">
        <w:rPr>
          <w:sz w:val="24"/>
          <w:szCs w:val="24"/>
        </w:rPr>
        <w:t>[</w:t>
      </w:r>
      <w:r w:rsidR="0054636F" w:rsidRPr="00C24CA1">
        <w:rPr>
          <w:sz w:val="24"/>
          <w:szCs w:val="24"/>
          <w:highlight w:val="yellow"/>
        </w:rPr>
        <w:t>Name of popular event in your county</w:t>
      </w:r>
      <w:r w:rsidR="0054636F">
        <w:rPr>
          <w:sz w:val="24"/>
          <w:szCs w:val="24"/>
        </w:rPr>
        <w:t>]</w:t>
      </w:r>
      <w:r w:rsidR="00780C7C" w:rsidRPr="00312087">
        <w:rPr>
          <w:sz w:val="24"/>
          <w:szCs w:val="24"/>
        </w:rPr>
        <w:t xml:space="preserve">. Both families of the cases reported dining at multiple food vendors </w:t>
      </w:r>
      <w:r w:rsidR="00274A72">
        <w:rPr>
          <w:sz w:val="24"/>
          <w:szCs w:val="24"/>
        </w:rPr>
        <w:t xml:space="preserve">while attending the festival </w:t>
      </w:r>
      <w:r w:rsidR="00783D17">
        <w:rPr>
          <w:sz w:val="24"/>
          <w:szCs w:val="24"/>
        </w:rPr>
        <w:t>throughout the weekend</w:t>
      </w:r>
      <w:r w:rsidR="00780C7C" w:rsidRPr="00312087">
        <w:rPr>
          <w:sz w:val="24"/>
          <w:szCs w:val="24"/>
        </w:rPr>
        <w:t xml:space="preserve">. </w:t>
      </w:r>
      <w:r w:rsidR="00783D17">
        <w:rPr>
          <w:sz w:val="24"/>
          <w:szCs w:val="24"/>
        </w:rPr>
        <w:t>Both families</w:t>
      </w:r>
      <w:r w:rsidR="001E4B0B">
        <w:rPr>
          <w:sz w:val="24"/>
          <w:szCs w:val="24"/>
        </w:rPr>
        <w:t xml:space="preserve"> could provide restaurant names in their history but struggled to identify food vendors from the </w:t>
      </w:r>
      <w:r w:rsidR="0054636F">
        <w:rPr>
          <w:sz w:val="24"/>
          <w:szCs w:val="24"/>
        </w:rPr>
        <w:t>[</w:t>
      </w:r>
      <w:r w:rsidR="0054636F" w:rsidRPr="00C24CA1">
        <w:rPr>
          <w:sz w:val="24"/>
          <w:szCs w:val="24"/>
          <w:highlight w:val="yellow"/>
        </w:rPr>
        <w:t>Name of popular event in your county</w:t>
      </w:r>
      <w:r w:rsidR="0054636F">
        <w:rPr>
          <w:sz w:val="24"/>
          <w:szCs w:val="24"/>
        </w:rPr>
        <w:t>]</w:t>
      </w:r>
      <w:r w:rsidR="001E4B0B">
        <w:rPr>
          <w:sz w:val="24"/>
          <w:szCs w:val="24"/>
        </w:rPr>
        <w:t xml:space="preserve">. Most vendors were identified as “the yellow truck with the pig on the side” or “the red truck with the flames”. </w:t>
      </w:r>
    </w:p>
    <w:p w14:paraId="14EBD65F" w14:textId="77777777" w:rsidR="001E4B0B" w:rsidRDefault="001E4B0B" w:rsidP="00780C7C">
      <w:pPr>
        <w:pStyle w:val="ListParagraph"/>
        <w:ind w:left="0"/>
        <w:rPr>
          <w:sz w:val="24"/>
          <w:szCs w:val="24"/>
        </w:rPr>
      </w:pPr>
    </w:p>
    <w:p w14:paraId="7D1F518A" w14:textId="3166951B" w:rsidR="00780C7C" w:rsidRPr="00312087" w:rsidRDefault="001E4B0B" w:rsidP="00780C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Between the two families, a</w:t>
      </w:r>
      <w:r w:rsidR="00780C7C" w:rsidRPr="00312087">
        <w:rPr>
          <w:sz w:val="24"/>
          <w:szCs w:val="24"/>
        </w:rPr>
        <w:t xml:space="preserve"> variety of foods </w:t>
      </w:r>
      <w:r w:rsidR="00780C7C">
        <w:rPr>
          <w:sz w:val="24"/>
          <w:szCs w:val="24"/>
        </w:rPr>
        <w:t>were</w:t>
      </w:r>
      <w:r w:rsidR="00780C7C" w:rsidRPr="00312087">
        <w:rPr>
          <w:sz w:val="24"/>
          <w:szCs w:val="24"/>
        </w:rPr>
        <w:t xml:space="preserve"> consumed including various me</w:t>
      </w:r>
      <w:r w:rsidR="00780C7C">
        <w:rPr>
          <w:sz w:val="24"/>
          <w:szCs w:val="24"/>
        </w:rPr>
        <w:t>a</w:t>
      </w:r>
      <w:r w:rsidR="00780C7C" w:rsidRPr="00312087">
        <w:rPr>
          <w:sz w:val="24"/>
          <w:szCs w:val="24"/>
        </w:rPr>
        <w:t>ts, side items like mac n</w:t>
      </w:r>
      <w:r w:rsidR="00780C7C">
        <w:rPr>
          <w:sz w:val="24"/>
          <w:szCs w:val="24"/>
        </w:rPr>
        <w:t>’</w:t>
      </w:r>
      <w:r w:rsidR="00780C7C" w:rsidRPr="00312087">
        <w:rPr>
          <w:sz w:val="24"/>
          <w:szCs w:val="24"/>
        </w:rPr>
        <w:t xml:space="preserve"> cheese, </w:t>
      </w:r>
      <w:r w:rsidR="00780C7C">
        <w:rPr>
          <w:sz w:val="24"/>
          <w:szCs w:val="24"/>
        </w:rPr>
        <w:t xml:space="preserve">salads, </w:t>
      </w:r>
      <w:r w:rsidR="00780C7C" w:rsidRPr="00312087">
        <w:rPr>
          <w:sz w:val="24"/>
          <w:szCs w:val="24"/>
        </w:rPr>
        <w:t xml:space="preserve">coleslaw, </w:t>
      </w:r>
      <w:r>
        <w:rPr>
          <w:sz w:val="24"/>
          <w:szCs w:val="24"/>
        </w:rPr>
        <w:t xml:space="preserve">beans, cornbread, </w:t>
      </w:r>
      <w:r w:rsidR="00783D17">
        <w:rPr>
          <w:sz w:val="24"/>
          <w:szCs w:val="24"/>
        </w:rPr>
        <w:t>corn, dessert items, and fresh squeezed juices and lemonade</w:t>
      </w:r>
      <w:r w:rsidR="00780C7C" w:rsidRPr="00312087">
        <w:rPr>
          <w:sz w:val="24"/>
          <w:szCs w:val="24"/>
        </w:rPr>
        <w:t>. The 29yo male reported during his interview that his child</w:t>
      </w:r>
      <w:r w:rsidR="00AB7F0B">
        <w:rPr>
          <w:sz w:val="24"/>
          <w:szCs w:val="24"/>
        </w:rPr>
        <w:t xml:space="preserve">, a </w:t>
      </w:r>
      <w:r w:rsidR="00CF0585">
        <w:rPr>
          <w:sz w:val="24"/>
          <w:szCs w:val="24"/>
        </w:rPr>
        <w:t>9</w:t>
      </w:r>
      <w:r w:rsidR="00AB7F0B">
        <w:rPr>
          <w:sz w:val="24"/>
          <w:szCs w:val="24"/>
        </w:rPr>
        <w:t>yo female</w:t>
      </w:r>
      <w:r w:rsidR="00780C7C" w:rsidRPr="003120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 w:rsidR="00780C7C" w:rsidRPr="00312087">
        <w:rPr>
          <w:sz w:val="24"/>
          <w:szCs w:val="24"/>
        </w:rPr>
        <w:t xml:space="preserve">had shared </w:t>
      </w:r>
      <w:r>
        <w:rPr>
          <w:sz w:val="24"/>
          <w:szCs w:val="24"/>
        </w:rPr>
        <w:t>multiple items</w:t>
      </w:r>
      <w:r w:rsidR="00780C7C" w:rsidRPr="00312087">
        <w:rPr>
          <w:sz w:val="24"/>
          <w:szCs w:val="24"/>
        </w:rPr>
        <w:t xml:space="preserve"> with him</w:t>
      </w:r>
      <w:r>
        <w:rPr>
          <w:sz w:val="24"/>
          <w:szCs w:val="24"/>
        </w:rPr>
        <w:t>,</w:t>
      </w:r>
      <w:r w:rsidR="00780C7C" w:rsidRPr="00312087">
        <w:rPr>
          <w:sz w:val="24"/>
          <w:szCs w:val="24"/>
        </w:rPr>
        <w:t xml:space="preserve"> </w:t>
      </w:r>
      <w:r>
        <w:rPr>
          <w:sz w:val="24"/>
          <w:szCs w:val="24"/>
        </w:rPr>
        <w:t>is also experiencing</w:t>
      </w:r>
      <w:r w:rsidR="00780C7C" w:rsidRPr="00312087">
        <w:rPr>
          <w:sz w:val="24"/>
          <w:szCs w:val="24"/>
        </w:rPr>
        <w:t xml:space="preserve"> symptoms but </w:t>
      </w:r>
      <w:r>
        <w:rPr>
          <w:sz w:val="24"/>
          <w:szCs w:val="24"/>
        </w:rPr>
        <w:t>doesn’t</w:t>
      </w:r>
      <w:r w:rsidR="00780C7C" w:rsidRPr="00312087">
        <w:rPr>
          <w:sz w:val="24"/>
          <w:szCs w:val="24"/>
        </w:rPr>
        <w:t xml:space="preserve"> need to seek care</w:t>
      </w:r>
      <w:r>
        <w:rPr>
          <w:sz w:val="24"/>
          <w:szCs w:val="24"/>
        </w:rPr>
        <w:t xml:space="preserve"> at this time</w:t>
      </w:r>
      <w:r w:rsidR="00780C7C" w:rsidRPr="00312087">
        <w:rPr>
          <w:sz w:val="24"/>
          <w:szCs w:val="24"/>
        </w:rPr>
        <w:t xml:space="preserve">. </w:t>
      </w:r>
      <w:r>
        <w:rPr>
          <w:sz w:val="24"/>
          <w:szCs w:val="24"/>
        </w:rPr>
        <w:t>This morning, a</w:t>
      </w:r>
      <w:r w:rsidR="005A09D4">
        <w:rPr>
          <w:sz w:val="24"/>
          <w:szCs w:val="24"/>
        </w:rPr>
        <w:t xml:space="preserve"> friend who attended </w:t>
      </w:r>
      <w:r w:rsidR="0054636F">
        <w:rPr>
          <w:sz w:val="24"/>
          <w:szCs w:val="24"/>
        </w:rPr>
        <w:t>[</w:t>
      </w:r>
      <w:r w:rsidR="0054636F" w:rsidRPr="00C24CA1">
        <w:rPr>
          <w:sz w:val="24"/>
          <w:szCs w:val="24"/>
          <w:highlight w:val="yellow"/>
        </w:rPr>
        <w:t>Name of popular event in your county</w:t>
      </w:r>
      <w:r w:rsidR="0054636F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with them </w:t>
      </w:r>
      <w:r w:rsidR="00783D17">
        <w:rPr>
          <w:sz w:val="24"/>
          <w:szCs w:val="24"/>
        </w:rPr>
        <w:t>t</w:t>
      </w:r>
      <w:r>
        <w:rPr>
          <w:sz w:val="24"/>
          <w:szCs w:val="24"/>
        </w:rPr>
        <w:t>exted him to ask if they were ill. He is also experiencing symptoms</w:t>
      </w:r>
      <w:r w:rsidR="001D1515">
        <w:rPr>
          <w:sz w:val="24"/>
          <w:szCs w:val="24"/>
        </w:rPr>
        <w:t xml:space="preserve"> </w:t>
      </w:r>
      <w:r w:rsidR="001D1515">
        <w:rPr>
          <w:sz w:val="24"/>
          <w:szCs w:val="24"/>
        </w:rPr>
        <w:t>including abdominal pain and diarrhea</w:t>
      </w:r>
      <w:r>
        <w:rPr>
          <w:sz w:val="24"/>
          <w:szCs w:val="24"/>
        </w:rPr>
        <w:t xml:space="preserve">. </w:t>
      </w:r>
    </w:p>
    <w:p w14:paraId="6B1C75EC" w14:textId="77777777" w:rsidR="001E4B0B" w:rsidRDefault="001E4B0B" w:rsidP="00780C7C">
      <w:pPr>
        <w:pStyle w:val="ListParagraph"/>
        <w:ind w:left="0"/>
        <w:rPr>
          <w:sz w:val="24"/>
          <w:szCs w:val="24"/>
        </w:rPr>
      </w:pPr>
    </w:p>
    <w:p w14:paraId="358811F8" w14:textId="46DB66A5" w:rsidR="00780C7C" w:rsidRPr="00312087" w:rsidRDefault="00CF0585" w:rsidP="00780C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following up with the family of t</w:t>
      </w:r>
      <w:r w:rsidR="001E4B0B">
        <w:rPr>
          <w:sz w:val="24"/>
          <w:szCs w:val="24"/>
        </w:rPr>
        <w:t>he 5-year-old</w:t>
      </w:r>
      <w:r>
        <w:rPr>
          <w:sz w:val="24"/>
          <w:szCs w:val="24"/>
        </w:rPr>
        <w:t>, the CD Nurse learns he</w:t>
      </w:r>
      <w:r w:rsidR="001E4B0B">
        <w:rPr>
          <w:sz w:val="24"/>
          <w:szCs w:val="24"/>
        </w:rPr>
        <w:t xml:space="preserve"> was taken to the ER </w:t>
      </w:r>
      <w:r>
        <w:rPr>
          <w:sz w:val="24"/>
          <w:szCs w:val="24"/>
        </w:rPr>
        <w:t xml:space="preserve">last night when he became lethargic and </w:t>
      </w:r>
      <w:r w:rsidR="00214E5D">
        <w:rPr>
          <w:sz w:val="24"/>
          <w:szCs w:val="24"/>
        </w:rPr>
        <w:t>pale. He was admitted with</w:t>
      </w:r>
      <w:r>
        <w:rPr>
          <w:sz w:val="24"/>
          <w:szCs w:val="24"/>
        </w:rPr>
        <w:t xml:space="preserve"> suspected</w:t>
      </w:r>
      <w:r w:rsidR="001E4B0B">
        <w:rPr>
          <w:sz w:val="24"/>
          <w:szCs w:val="24"/>
        </w:rPr>
        <w:t xml:space="preserve"> </w:t>
      </w:r>
      <w:r w:rsidRPr="00CF0585">
        <w:rPr>
          <w:sz w:val="24"/>
          <w:szCs w:val="24"/>
        </w:rPr>
        <w:t>hemolytic uremic syndrome (HUS)</w:t>
      </w:r>
      <w:r w:rsidR="001E4B0B">
        <w:rPr>
          <w:sz w:val="24"/>
          <w:szCs w:val="24"/>
        </w:rPr>
        <w:t xml:space="preserve">. He </w:t>
      </w:r>
      <w:r>
        <w:rPr>
          <w:sz w:val="24"/>
          <w:szCs w:val="24"/>
        </w:rPr>
        <w:t xml:space="preserve">currently </w:t>
      </w:r>
      <w:r w:rsidR="001E4B0B">
        <w:rPr>
          <w:sz w:val="24"/>
          <w:szCs w:val="24"/>
        </w:rPr>
        <w:t>remains hospitalized</w:t>
      </w:r>
      <w:r>
        <w:rPr>
          <w:sz w:val="24"/>
          <w:szCs w:val="24"/>
        </w:rPr>
        <w:t xml:space="preserve">. </w:t>
      </w:r>
      <w:r w:rsidR="00214E5D">
        <w:rPr>
          <w:sz w:val="24"/>
          <w:szCs w:val="24"/>
        </w:rPr>
        <w:t xml:space="preserve">During the interview, the mom said that she and her husband both attended the </w:t>
      </w:r>
      <w:r w:rsidR="0054636F">
        <w:rPr>
          <w:sz w:val="24"/>
          <w:szCs w:val="24"/>
        </w:rPr>
        <w:t>[</w:t>
      </w:r>
      <w:r w:rsidR="0054636F" w:rsidRPr="00C24CA1">
        <w:rPr>
          <w:sz w:val="24"/>
          <w:szCs w:val="24"/>
          <w:highlight w:val="yellow"/>
        </w:rPr>
        <w:t>Name of popular event in your county</w:t>
      </w:r>
      <w:r w:rsidR="0054636F">
        <w:rPr>
          <w:sz w:val="24"/>
          <w:szCs w:val="24"/>
        </w:rPr>
        <w:t xml:space="preserve">] </w:t>
      </w:r>
      <w:r w:rsidR="00214E5D">
        <w:rPr>
          <w:sz w:val="24"/>
          <w:szCs w:val="24"/>
        </w:rPr>
        <w:t>but neither has experienced any symptoms.</w:t>
      </w:r>
      <w:r w:rsidR="00783D17">
        <w:rPr>
          <w:sz w:val="24"/>
          <w:szCs w:val="24"/>
        </w:rPr>
        <w:t xml:space="preserve"> Their other two children did not attend the festival and are not experiencing any symptoms. </w:t>
      </w:r>
      <w:r w:rsidR="00214E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0F9FD67E" w14:textId="77777777" w:rsidR="001E4B0B" w:rsidRDefault="001E4B0B" w:rsidP="00780C7C">
      <w:pPr>
        <w:pStyle w:val="ListParagraph"/>
        <w:ind w:left="0"/>
        <w:rPr>
          <w:sz w:val="24"/>
          <w:szCs w:val="24"/>
        </w:rPr>
      </w:pPr>
    </w:p>
    <w:p w14:paraId="4026343B" w14:textId="0DA7789F" w:rsidR="00780C7C" w:rsidRDefault="00214E5D" w:rsidP="00780C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By the end of the </w:t>
      </w:r>
      <w:r w:rsidR="0054636F">
        <w:rPr>
          <w:sz w:val="24"/>
          <w:szCs w:val="24"/>
        </w:rPr>
        <w:t>week</w:t>
      </w:r>
      <w:r w:rsidR="00780C7C" w:rsidRPr="00312087">
        <w:rPr>
          <w:sz w:val="24"/>
          <w:szCs w:val="24"/>
        </w:rPr>
        <w:t xml:space="preserve">, there are increased calls on the CD line </w:t>
      </w:r>
      <w:r w:rsidR="001F7AFB">
        <w:rPr>
          <w:sz w:val="24"/>
          <w:szCs w:val="24"/>
        </w:rPr>
        <w:t>from</w:t>
      </w:r>
      <w:r w:rsidR="00780C7C" w:rsidRPr="00312087">
        <w:rPr>
          <w:sz w:val="24"/>
          <w:szCs w:val="24"/>
        </w:rPr>
        <w:t xml:space="preserve"> people with complaints of food poisoning</w:t>
      </w:r>
      <w:r w:rsidR="001E4B0B">
        <w:rPr>
          <w:sz w:val="24"/>
          <w:szCs w:val="24"/>
        </w:rPr>
        <w:t xml:space="preserve">-like </w:t>
      </w:r>
      <w:r w:rsidR="00780C7C" w:rsidRPr="00312087">
        <w:rPr>
          <w:sz w:val="24"/>
          <w:szCs w:val="24"/>
        </w:rPr>
        <w:t xml:space="preserve">symptoms. </w:t>
      </w:r>
      <w:r w:rsidR="00780C7C">
        <w:rPr>
          <w:sz w:val="24"/>
          <w:szCs w:val="24"/>
        </w:rPr>
        <w:t xml:space="preserve">A check of MDSS shows two additional cases of STEC in </w:t>
      </w:r>
      <w:r w:rsidR="0054636F">
        <w:rPr>
          <w:sz w:val="24"/>
          <w:szCs w:val="24"/>
        </w:rPr>
        <w:t>[</w:t>
      </w:r>
      <w:r w:rsidR="0054636F" w:rsidRPr="0054636F">
        <w:rPr>
          <w:sz w:val="24"/>
          <w:szCs w:val="24"/>
          <w:highlight w:val="yellow"/>
        </w:rPr>
        <w:t>neighboring county</w:t>
      </w:r>
      <w:r w:rsidR="0054636F">
        <w:rPr>
          <w:sz w:val="24"/>
          <w:szCs w:val="24"/>
        </w:rPr>
        <w:t>]</w:t>
      </w:r>
      <w:r w:rsidR="00780C7C">
        <w:rPr>
          <w:sz w:val="24"/>
          <w:szCs w:val="24"/>
        </w:rPr>
        <w:t xml:space="preserve"> and </w:t>
      </w:r>
      <w:r w:rsidR="0054636F">
        <w:rPr>
          <w:sz w:val="24"/>
          <w:szCs w:val="24"/>
        </w:rPr>
        <w:t>[</w:t>
      </w:r>
      <w:r w:rsidR="0054636F" w:rsidRPr="0054636F">
        <w:rPr>
          <w:sz w:val="24"/>
          <w:szCs w:val="24"/>
          <w:highlight w:val="yellow"/>
        </w:rPr>
        <w:t>neighboring county</w:t>
      </w:r>
      <w:r w:rsidR="0054636F">
        <w:rPr>
          <w:sz w:val="24"/>
          <w:szCs w:val="24"/>
        </w:rPr>
        <w:t>]</w:t>
      </w:r>
      <w:r w:rsidR="00780C7C">
        <w:rPr>
          <w:sz w:val="24"/>
          <w:szCs w:val="24"/>
        </w:rPr>
        <w:t xml:space="preserve"> residents. </w:t>
      </w:r>
    </w:p>
    <w:p w14:paraId="76EA1B63" w14:textId="77777777" w:rsidR="001E4B0B" w:rsidRDefault="001E4B0B" w:rsidP="00780C7C">
      <w:pPr>
        <w:pStyle w:val="ListParagraph"/>
        <w:ind w:left="0"/>
        <w:rPr>
          <w:sz w:val="24"/>
          <w:szCs w:val="24"/>
        </w:rPr>
      </w:pPr>
    </w:p>
    <w:p w14:paraId="1824126E" w14:textId="77777777" w:rsidR="00C24CA1" w:rsidRPr="006608EB" w:rsidRDefault="00C24CA1" w:rsidP="00C24CA1">
      <w:pPr>
        <w:spacing w:after="0" w:line="240" w:lineRule="auto"/>
        <w:rPr>
          <w:b/>
          <w:bCs/>
          <w:szCs w:val="24"/>
        </w:rPr>
      </w:pPr>
      <w:r w:rsidRPr="006608EB">
        <w:rPr>
          <w:b/>
          <w:bCs/>
          <w:szCs w:val="24"/>
        </w:rPr>
        <w:t>Intended Audience</w:t>
      </w:r>
    </w:p>
    <w:p w14:paraId="25FCEC4B" w14:textId="39A6CE44" w:rsidR="00B54BB1" w:rsidRDefault="00C24CA1" w:rsidP="00F432C7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[</w:t>
      </w:r>
      <w:r w:rsidRPr="005D3C4C">
        <w:rPr>
          <w:szCs w:val="24"/>
          <w:highlight w:val="yellow"/>
        </w:rPr>
        <w:t>Change titles as appropriate</w:t>
      </w:r>
      <w:r>
        <w:rPr>
          <w:szCs w:val="24"/>
        </w:rPr>
        <w:t xml:space="preserve">] </w:t>
      </w:r>
      <w:r w:rsidR="007F41F0">
        <w:rPr>
          <w:szCs w:val="24"/>
        </w:rPr>
        <w:t>Health Officer, Medical Director, EH Director, PPHS Director, Nursing Supervisor, CD Nurse, Epidemiology,</w:t>
      </w:r>
      <w:r w:rsidR="007F41F0" w:rsidRPr="00435B7B">
        <w:rPr>
          <w:szCs w:val="24"/>
        </w:rPr>
        <w:t xml:space="preserve"> </w:t>
      </w:r>
      <w:r w:rsidR="007F41F0">
        <w:rPr>
          <w:szCs w:val="24"/>
        </w:rPr>
        <w:t>EPC, Health Promotions Coordinator, Health Promotions Specialist, Food Program Coordinator, EH Specialist</w:t>
      </w:r>
    </w:p>
    <w:p w14:paraId="23F0B8E8" w14:textId="77777777" w:rsidR="007F41F0" w:rsidRDefault="007F41F0" w:rsidP="00F432C7">
      <w:pPr>
        <w:spacing w:after="0" w:line="240" w:lineRule="auto"/>
        <w:rPr>
          <w:b/>
          <w:bCs/>
          <w:szCs w:val="24"/>
        </w:rPr>
      </w:pPr>
    </w:p>
    <w:p w14:paraId="22B3823A" w14:textId="77777777" w:rsidR="00B54BB1" w:rsidRDefault="00B54BB1" w:rsidP="00F432C7">
      <w:pPr>
        <w:spacing w:after="0" w:line="240" w:lineRule="auto"/>
        <w:rPr>
          <w:b/>
          <w:bCs/>
          <w:szCs w:val="24"/>
        </w:rPr>
      </w:pPr>
    </w:p>
    <w:p w14:paraId="5BFF9238" w14:textId="7301AF6B" w:rsidR="00F432C7" w:rsidRPr="002E5003" w:rsidRDefault="00F432C7" w:rsidP="00F432C7">
      <w:pPr>
        <w:spacing w:after="0" w:line="240" w:lineRule="auto"/>
        <w:rPr>
          <w:b/>
          <w:bCs/>
          <w:szCs w:val="24"/>
        </w:rPr>
      </w:pPr>
      <w:bookmarkStart w:id="1" w:name="_Hlk144904559"/>
      <w:r w:rsidRPr="002E5003">
        <w:rPr>
          <w:b/>
          <w:bCs/>
          <w:szCs w:val="24"/>
        </w:rPr>
        <w:t>Objectives</w:t>
      </w:r>
      <w:r>
        <w:rPr>
          <w:b/>
          <w:bCs/>
          <w:szCs w:val="24"/>
        </w:rPr>
        <w:t xml:space="preserve"> and Tasks </w:t>
      </w:r>
    </w:p>
    <w:p w14:paraId="769968B3" w14:textId="77777777" w:rsidR="00F432C7" w:rsidRPr="002E5003" w:rsidRDefault="00F432C7" w:rsidP="00F43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2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6B3C02CB" w14:textId="3EEC9946" w:rsidR="00A0531B" w:rsidRPr="002E5003" w:rsidRDefault="00A0531B" w:rsidP="00A053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76528C9E" w14:textId="77777777" w:rsidR="00F432C7" w:rsidRPr="002E5003" w:rsidRDefault="00F432C7" w:rsidP="00F43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57E97153" w14:textId="77777777" w:rsidR="00F432C7" w:rsidRPr="002E5003" w:rsidRDefault="00F432C7" w:rsidP="00F43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61932415" w14:textId="77777777" w:rsidR="00F432C7" w:rsidRDefault="00F432C7" w:rsidP="00F43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2"/>
    <w:p w14:paraId="7B9F8461" w14:textId="77777777" w:rsidR="001E4B0B" w:rsidRDefault="001E4B0B" w:rsidP="00780C7C">
      <w:pPr>
        <w:pStyle w:val="ListParagraph"/>
        <w:ind w:left="0"/>
        <w:rPr>
          <w:sz w:val="24"/>
          <w:szCs w:val="24"/>
        </w:rPr>
      </w:pPr>
    </w:p>
    <w:p w14:paraId="1AF86CF6" w14:textId="77777777" w:rsidR="00A0531B" w:rsidRDefault="00A0531B" w:rsidP="00780C7C">
      <w:pPr>
        <w:pStyle w:val="ListParagraph"/>
        <w:ind w:left="0"/>
        <w:rPr>
          <w:sz w:val="24"/>
          <w:szCs w:val="24"/>
        </w:rPr>
      </w:pPr>
    </w:p>
    <w:p w14:paraId="3B399EA4" w14:textId="77777777" w:rsidR="00A0531B" w:rsidRDefault="00A0531B" w:rsidP="00780C7C">
      <w:pPr>
        <w:pStyle w:val="ListParagraph"/>
        <w:ind w:left="0"/>
        <w:rPr>
          <w:sz w:val="24"/>
          <w:szCs w:val="24"/>
        </w:rPr>
      </w:pPr>
    </w:p>
    <w:p w14:paraId="6BDC7DD8" w14:textId="77777777" w:rsidR="00A0531B" w:rsidRDefault="00A0531B" w:rsidP="00A0531B">
      <w:pPr>
        <w:spacing w:after="0" w:line="240" w:lineRule="auto"/>
        <w:rPr>
          <w:b/>
          <w:bCs/>
          <w:szCs w:val="24"/>
        </w:rPr>
      </w:pPr>
      <w:r w:rsidRPr="00DA74FA">
        <w:rPr>
          <w:b/>
          <w:bCs/>
          <w:szCs w:val="24"/>
        </w:rPr>
        <w:t>Possible Reference Materials</w:t>
      </w:r>
    </w:p>
    <w:p w14:paraId="4BC0A898" w14:textId="77777777" w:rsidR="00B54BB1" w:rsidRPr="00136CA3" w:rsidRDefault="00B54BB1" w:rsidP="00B54BB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25551856"/>
      <w:bookmarkStart w:id="4" w:name="_Hlk127884841"/>
      <w:bookmarkStart w:id="5" w:name="_Hlk127885184"/>
      <w:r w:rsidRPr="00136CA3">
        <w:rPr>
          <w:sz w:val="24"/>
          <w:szCs w:val="24"/>
        </w:rPr>
        <w:t xml:space="preserve">Emergency Response Activation Checklist </w:t>
      </w:r>
    </w:p>
    <w:p w14:paraId="7187089B" w14:textId="3B72EFE6" w:rsidR="00A0531B" w:rsidRPr="00F35469" w:rsidRDefault="001D1515" w:rsidP="00A0531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7" w:history="1">
        <w:r w:rsidR="00A0531B" w:rsidRPr="00AC2C05">
          <w:rPr>
            <w:rStyle w:val="Hyperlink"/>
            <w:sz w:val="24"/>
            <w:szCs w:val="24"/>
          </w:rPr>
          <w:t>MDHHS A-Z Page</w:t>
        </w:r>
      </w:hyperlink>
      <w:r w:rsidR="00A0531B" w:rsidRPr="00F35469">
        <w:rPr>
          <w:sz w:val="24"/>
          <w:szCs w:val="24"/>
        </w:rPr>
        <w:t xml:space="preserve"> – </w:t>
      </w:r>
      <w:r w:rsidR="00A0531B">
        <w:rPr>
          <w:sz w:val="24"/>
          <w:szCs w:val="24"/>
        </w:rPr>
        <w:t xml:space="preserve">Page </w:t>
      </w:r>
      <w:r w:rsidR="00B54BB1">
        <w:rPr>
          <w:sz w:val="24"/>
          <w:szCs w:val="24"/>
        </w:rPr>
        <w:t>23</w:t>
      </w:r>
      <w:r w:rsidR="00A0531B">
        <w:rPr>
          <w:sz w:val="24"/>
          <w:szCs w:val="24"/>
        </w:rPr>
        <w:t xml:space="preserve"> </w:t>
      </w:r>
      <w:r w:rsidR="00B54BB1">
        <w:rPr>
          <w:sz w:val="24"/>
          <w:szCs w:val="24"/>
        </w:rPr>
        <w:t>– (</w:t>
      </w:r>
      <w:hyperlink r:id="rId8" w:history="1">
        <w:r w:rsidR="00B54BB1" w:rsidRPr="00B54BB1">
          <w:rPr>
            <w:rStyle w:val="Hyperlink"/>
            <w:sz w:val="24"/>
            <w:szCs w:val="24"/>
          </w:rPr>
          <w:t>links to CDC Case Definition</w:t>
        </w:r>
      </w:hyperlink>
      <w:r w:rsidR="00B54BB1">
        <w:rPr>
          <w:sz w:val="24"/>
          <w:szCs w:val="24"/>
        </w:rPr>
        <w:t>)</w:t>
      </w:r>
    </w:p>
    <w:p w14:paraId="64621925" w14:textId="40840D20" w:rsidR="00A0531B" w:rsidRPr="00B54BB1" w:rsidRDefault="001D1515" w:rsidP="00A0531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9" w:history="1">
        <w:r w:rsidR="00B54BB1" w:rsidRPr="00B54BB1">
          <w:rPr>
            <w:rStyle w:val="Hyperlink"/>
          </w:rPr>
          <w:t>MDHHS STEC Resource</w:t>
        </w:r>
      </w:hyperlink>
    </w:p>
    <w:p w14:paraId="16828834" w14:textId="10D748C8" w:rsidR="00B54BB1" w:rsidRPr="00F35469" w:rsidRDefault="001D1515" w:rsidP="00A0531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10" w:history="1">
        <w:r w:rsidR="00B54BB1" w:rsidRPr="00B54BB1">
          <w:rPr>
            <w:rStyle w:val="Hyperlink"/>
          </w:rPr>
          <w:t>USDA STEC Website</w:t>
        </w:r>
      </w:hyperlink>
      <w:r w:rsidR="00B54BB1">
        <w:t xml:space="preserve"> </w:t>
      </w:r>
    </w:p>
    <w:p w14:paraId="226B7D94" w14:textId="63909691" w:rsidR="00A0531B" w:rsidRPr="00F35469" w:rsidRDefault="00A0531B" w:rsidP="00A0531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>"</w:t>
      </w:r>
      <w:hyperlink r:id="rId11" w:history="1">
        <w:r w:rsidRPr="0056451E">
          <w:rPr>
            <w:rStyle w:val="Hyperlink"/>
            <w:i/>
            <w:iCs/>
            <w:sz w:val="24"/>
            <w:szCs w:val="24"/>
          </w:rPr>
          <w:t>Control of Communicable Diseases Manual</w:t>
        </w:r>
      </w:hyperlink>
      <w:r w:rsidRPr="00F35469">
        <w:rPr>
          <w:sz w:val="24"/>
          <w:szCs w:val="24"/>
        </w:rPr>
        <w:t>"- 21st edition</w:t>
      </w:r>
    </w:p>
    <w:p w14:paraId="10BD6824" w14:textId="51E71838" w:rsidR="00A0531B" w:rsidRPr="00AC2C05" w:rsidRDefault="00B54BB1" w:rsidP="00A0531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>
        <w:rPr>
          <w:sz w:val="24"/>
          <w:szCs w:val="24"/>
        </w:rPr>
        <w:t>]</w:t>
      </w:r>
      <w:r w:rsidR="00A0531B" w:rsidRPr="00AC2C05">
        <w:rPr>
          <w:sz w:val="24"/>
          <w:szCs w:val="24"/>
        </w:rPr>
        <w:t xml:space="preserve"> CD Manual –</w:t>
      </w:r>
      <w:bookmarkEnd w:id="3"/>
      <w:r w:rsidR="00A0531B" w:rsidRPr="00AC2C05">
        <w:rPr>
          <w:sz w:val="24"/>
          <w:szCs w:val="24"/>
        </w:rPr>
        <w:t xml:space="preserve"> </w:t>
      </w:r>
      <w:r w:rsidRPr="00B54BB1">
        <w:t>[</w:t>
      </w:r>
      <w:r w:rsidRPr="00B54BB1">
        <w:rPr>
          <w:highlight w:val="yellow"/>
        </w:rPr>
        <w:t>Add internal link</w:t>
      </w:r>
      <w:r>
        <w:t>]</w:t>
      </w:r>
    </w:p>
    <w:p w14:paraId="4D50EA98" w14:textId="3CC648E3" w:rsidR="00A0531B" w:rsidRPr="00AC2C05" w:rsidRDefault="00B54BB1" w:rsidP="00A0531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 w:rsidRPr="00AC2C05">
        <w:rPr>
          <w:sz w:val="24"/>
          <w:szCs w:val="24"/>
        </w:rPr>
        <w:t xml:space="preserve"> </w:t>
      </w:r>
      <w:r w:rsidR="00A0531B" w:rsidRPr="00AC2C05">
        <w:rPr>
          <w:sz w:val="24"/>
          <w:szCs w:val="24"/>
        </w:rPr>
        <w:t>Foodborne Illness Outbreak SOP</w:t>
      </w:r>
      <w:r>
        <w:rPr>
          <w:sz w:val="24"/>
          <w:szCs w:val="24"/>
        </w:rPr>
        <w:t xml:space="preserve"> – </w:t>
      </w:r>
      <w:r w:rsidRPr="00B54BB1">
        <w:t>[</w:t>
      </w:r>
      <w:r w:rsidRPr="00B54BB1">
        <w:rPr>
          <w:highlight w:val="yellow"/>
        </w:rPr>
        <w:t xml:space="preserve">Add internal </w:t>
      </w:r>
      <w:r w:rsidRPr="00FB235E">
        <w:rPr>
          <w:highlight w:val="yellow"/>
        </w:rPr>
        <w:t>links</w:t>
      </w:r>
      <w:r>
        <w:t>]</w:t>
      </w:r>
    </w:p>
    <w:bookmarkEnd w:id="4"/>
    <w:bookmarkEnd w:id="1"/>
    <w:p w14:paraId="7F2C898A" w14:textId="77777777" w:rsidR="00A0531B" w:rsidRDefault="00A0531B" w:rsidP="00A0531B">
      <w:pPr>
        <w:spacing w:after="0" w:line="240" w:lineRule="auto"/>
        <w:rPr>
          <w:szCs w:val="24"/>
        </w:rPr>
      </w:pPr>
    </w:p>
    <w:bookmarkEnd w:id="5"/>
    <w:p w14:paraId="6AA58012" w14:textId="77777777" w:rsidR="00A0531B" w:rsidRPr="008870DB" w:rsidRDefault="00A0531B" w:rsidP="00A0531B">
      <w:pPr>
        <w:spacing w:after="0" w:line="240" w:lineRule="auto"/>
        <w:rPr>
          <w:szCs w:val="24"/>
        </w:rPr>
      </w:pPr>
    </w:p>
    <w:p w14:paraId="7314BB1F" w14:textId="77777777" w:rsidR="00A0531B" w:rsidRPr="004310AB" w:rsidRDefault="00A0531B" w:rsidP="00780C7C">
      <w:pPr>
        <w:pStyle w:val="ListParagraph"/>
        <w:ind w:left="0"/>
        <w:rPr>
          <w:sz w:val="24"/>
          <w:szCs w:val="24"/>
        </w:rPr>
      </w:pPr>
    </w:p>
    <w:bookmarkEnd w:id="0"/>
    <w:sectPr w:rsidR="00A0531B" w:rsidRPr="004310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3C3C" w14:textId="77777777" w:rsidR="00C24CA1" w:rsidRDefault="00C24CA1" w:rsidP="00C24CA1">
      <w:pPr>
        <w:spacing w:after="0" w:line="240" w:lineRule="auto"/>
      </w:pPr>
      <w:r>
        <w:separator/>
      </w:r>
    </w:p>
  </w:endnote>
  <w:endnote w:type="continuationSeparator" w:id="0">
    <w:p w14:paraId="32A051F8" w14:textId="77777777" w:rsidR="00C24CA1" w:rsidRDefault="00C24CA1" w:rsidP="00C2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6ED6" w14:textId="77777777" w:rsidR="00785095" w:rsidRDefault="00785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C6C2" w14:textId="77777777" w:rsidR="00785095" w:rsidRDefault="00785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4FC6" w14:textId="77777777" w:rsidR="00785095" w:rsidRDefault="00785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1767" w14:textId="77777777" w:rsidR="00C24CA1" w:rsidRDefault="00C24CA1" w:rsidP="00C24CA1">
      <w:pPr>
        <w:spacing w:after="0" w:line="240" w:lineRule="auto"/>
      </w:pPr>
      <w:r>
        <w:separator/>
      </w:r>
    </w:p>
  </w:footnote>
  <w:footnote w:type="continuationSeparator" w:id="0">
    <w:p w14:paraId="7EF6F8AA" w14:textId="77777777" w:rsidR="00C24CA1" w:rsidRDefault="00C24CA1" w:rsidP="00C2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1000" w14:textId="77777777" w:rsidR="00785095" w:rsidRDefault="00785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B9EF" w14:textId="7214813D" w:rsidR="00C24CA1" w:rsidRDefault="00C24CA1" w:rsidP="00C24CA1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>
      <w:rPr>
        <w:b/>
        <w:bCs/>
        <w:sz w:val="32"/>
        <w:szCs w:val="32"/>
      </w:rPr>
      <w:t>Gastro Outbreak at Mass Event</w:t>
    </w:r>
  </w:p>
  <w:p w14:paraId="2BCCF565" w14:textId="77777777" w:rsidR="00C24CA1" w:rsidRPr="00BB2272" w:rsidRDefault="00C24CA1" w:rsidP="00C24CA1">
    <w:pPr>
      <w:pStyle w:val="Header"/>
      <w:jc w:val="center"/>
      <w:rPr>
        <w:sz w:val="28"/>
        <w:szCs w:val="28"/>
      </w:rPr>
    </w:pPr>
    <w:bookmarkStart w:id="6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6"/>
  <w:p w14:paraId="70EEE8EC" w14:textId="299FCE47" w:rsidR="00C24CA1" w:rsidRPr="006041CB" w:rsidRDefault="00C24CA1" w:rsidP="00C24CA1">
    <w:pPr>
      <w:pStyle w:val="Header"/>
      <w:jc w:val="center"/>
      <w:rPr>
        <w:b/>
        <w:bCs/>
        <w:i/>
        <w:iCs/>
        <w:sz w:val="28"/>
        <w:szCs w:val="28"/>
      </w:rPr>
    </w:pPr>
    <w:r w:rsidRPr="006041CB">
      <w:rPr>
        <w:b/>
        <w:bCs/>
        <w:i/>
        <w:iCs/>
        <w:sz w:val="28"/>
        <w:szCs w:val="28"/>
      </w:rPr>
      <w:t>Scenario and Objectives</w:t>
    </w:r>
    <w:r>
      <w:rPr>
        <w:b/>
        <w:bCs/>
        <w:i/>
        <w:iCs/>
        <w:sz w:val="28"/>
        <w:szCs w:val="28"/>
      </w:rPr>
      <w:t xml:space="preserve"> for Exercise Lead </w:t>
    </w:r>
  </w:p>
  <w:p w14:paraId="024FCB18" w14:textId="77777777" w:rsidR="00C24CA1" w:rsidRDefault="00C24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F323" w14:textId="77777777" w:rsidR="00785095" w:rsidRDefault="00785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01717">
    <w:abstractNumId w:val="0"/>
  </w:num>
  <w:num w:numId="2" w16cid:durableId="1534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C6"/>
    <w:rsid w:val="000A5378"/>
    <w:rsid w:val="001C2742"/>
    <w:rsid w:val="001D1515"/>
    <w:rsid w:val="001E4B0B"/>
    <w:rsid w:val="001F7AFB"/>
    <w:rsid w:val="00214E5D"/>
    <w:rsid w:val="00274A72"/>
    <w:rsid w:val="002F01D6"/>
    <w:rsid w:val="0054636F"/>
    <w:rsid w:val="0056451E"/>
    <w:rsid w:val="005A09D4"/>
    <w:rsid w:val="00714B55"/>
    <w:rsid w:val="00780C7C"/>
    <w:rsid w:val="00783D17"/>
    <w:rsid w:val="00785095"/>
    <w:rsid w:val="007B5DC6"/>
    <w:rsid w:val="007F41F0"/>
    <w:rsid w:val="00A0531B"/>
    <w:rsid w:val="00AB7F0B"/>
    <w:rsid w:val="00B54BB1"/>
    <w:rsid w:val="00C24CA1"/>
    <w:rsid w:val="00CF0585"/>
    <w:rsid w:val="00F432C7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85C4"/>
  <w15:chartTrackingRefBased/>
  <w15:docId w15:val="{96A4EA50-9588-4EF4-8589-4BFA17A8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78"/>
    <w:pPr>
      <w:spacing w:after="200" w:line="276" w:lineRule="auto"/>
    </w:pPr>
    <w:rPr>
      <w:rFonts w:ascii="Calibri" w:hAnsi="Calibri" w:cs="Times New Roman"/>
      <w:color w:val="000000" w:themeColor="text1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378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005B99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378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1EB53A"/>
      <w:kern w:val="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378"/>
    <w:pPr>
      <w:keepNext/>
      <w:keepLines/>
      <w:spacing w:after="0" w:line="240" w:lineRule="auto"/>
      <w:outlineLvl w:val="2"/>
    </w:pPr>
    <w:rPr>
      <w:rFonts w:eastAsiaTheme="majorEastAsia" w:cstheme="majorBidi"/>
      <w:i/>
      <w:color w:val="005B99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78"/>
    <w:rPr>
      <w:rFonts w:ascii="Calibri" w:eastAsiaTheme="majorEastAsia" w:hAnsi="Calibri" w:cstheme="majorBidi"/>
      <w:b/>
      <w:color w:val="005B9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378"/>
    <w:rPr>
      <w:rFonts w:ascii="Calibri" w:eastAsiaTheme="majorEastAsia" w:hAnsi="Calibri" w:cstheme="majorBidi"/>
      <w:b/>
      <w:color w:val="1EB53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378"/>
    <w:rPr>
      <w:rFonts w:ascii="Calibri" w:eastAsiaTheme="majorEastAsia" w:hAnsi="Calibri" w:cstheme="majorBidi"/>
      <w:i/>
      <w:color w:val="005B99"/>
      <w:sz w:val="24"/>
      <w:szCs w:val="24"/>
    </w:rPr>
  </w:style>
  <w:style w:type="paragraph" w:styleId="ListParagraph">
    <w:name w:val="List Paragraph"/>
    <w:basedOn w:val="Normal"/>
    <w:uiPriority w:val="34"/>
    <w:qFormat/>
    <w:rsid w:val="00780C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C24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A1"/>
    <w:rPr>
      <w:rFonts w:ascii="Calibri" w:hAnsi="Calibri" w:cs="Times New Roma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4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A1"/>
    <w:rPr>
      <w:rFonts w:ascii="Calibri" w:hAnsi="Calibri" w:cs="Times New Roman"/>
      <w:color w:val="000000" w:themeColor="text1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053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B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c.services.cdc.gov/case-definitions/shiga-toxin-producing-escherichia-coli-2018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mdhhs/keep-mi-healthy/communicablediseases/recentupdates/diseaselisti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a.org/Publications/Published-Books/CCD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sis.usda.gov/food-safety/foodborne-illness-and-disease/illnesses-and-pathogens/escherichia-coli-o157h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-/media/Project/Websites/mdhhs/Folder1/Folder95/stectips.pdf?rev=40e3c991d82b462092ab18138beec9b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10</cp:revision>
  <dcterms:created xsi:type="dcterms:W3CDTF">2023-08-07T12:47:00Z</dcterms:created>
  <dcterms:modified xsi:type="dcterms:W3CDTF">2023-09-27T20:31:00Z</dcterms:modified>
</cp:coreProperties>
</file>