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451D1" w14:textId="462C7BBE" w:rsidR="002E0BA1" w:rsidRDefault="002E0BA1" w:rsidP="002E0BA1">
      <w:pPr>
        <w:rPr>
          <w:sz w:val="26"/>
          <w:szCs w:val="26"/>
        </w:rPr>
      </w:pPr>
      <w:r>
        <w:rPr>
          <w:sz w:val="26"/>
          <w:szCs w:val="26"/>
        </w:rPr>
        <w:t>LHD COVID Response and Home Visiting Funding</w:t>
      </w:r>
    </w:p>
    <w:p w14:paraId="4AF1B687" w14:textId="77777777" w:rsidR="002E0BA1" w:rsidRDefault="002E0BA1" w:rsidP="002E0BA1">
      <w:pPr>
        <w:rPr>
          <w:sz w:val="26"/>
          <w:szCs w:val="26"/>
        </w:rPr>
      </w:pPr>
    </w:p>
    <w:p w14:paraId="522A51D6" w14:textId="73637E50" w:rsidR="002E0BA1" w:rsidRPr="002E0BA1" w:rsidRDefault="002E0BA1" w:rsidP="002E0BA1">
      <w:pPr>
        <w:rPr>
          <w:sz w:val="26"/>
          <w:szCs w:val="26"/>
        </w:rPr>
      </w:pPr>
      <w:r w:rsidRPr="002E0BA1">
        <w:rPr>
          <w:sz w:val="26"/>
          <w:szCs w:val="26"/>
        </w:rPr>
        <w:t xml:space="preserve">Hello Orlando and Laura, </w:t>
      </w:r>
    </w:p>
    <w:p w14:paraId="3C9266AB" w14:textId="77777777" w:rsidR="002E0BA1" w:rsidRPr="002E0BA1" w:rsidRDefault="002E0BA1" w:rsidP="002E0BA1">
      <w:pPr>
        <w:rPr>
          <w:sz w:val="26"/>
          <w:szCs w:val="26"/>
        </w:rPr>
      </w:pPr>
    </w:p>
    <w:p w14:paraId="5779857D" w14:textId="77777777" w:rsidR="002E0BA1" w:rsidRPr="002E0BA1" w:rsidRDefault="002E0BA1" w:rsidP="002E0BA1">
      <w:pPr>
        <w:rPr>
          <w:sz w:val="26"/>
          <w:szCs w:val="26"/>
        </w:rPr>
      </w:pPr>
      <w:r w:rsidRPr="002E0BA1">
        <w:rPr>
          <w:sz w:val="26"/>
          <w:szCs w:val="26"/>
        </w:rPr>
        <w:t>I wanted to let you know that we were informed this morning that all federal MIECHV funding must be used to support MIECHV grant activities.  It may not be appropriated to support other non-grant activities (see  below).</w:t>
      </w:r>
    </w:p>
    <w:p w14:paraId="6C02DE4E" w14:textId="77777777" w:rsidR="002E0BA1" w:rsidRPr="002E0BA1" w:rsidRDefault="002E0BA1" w:rsidP="002E0BA1">
      <w:pPr>
        <w:rPr>
          <w:i/>
          <w:iCs/>
          <w:sz w:val="26"/>
          <w:szCs w:val="26"/>
        </w:rPr>
      </w:pPr>
    </w:p>
    <w:p w14:paraId="451744A1" w14:textId="77777777" w:rsidR="002E0BA1" w:rsidRPr="002E0BA1" w:rsidRDefault="002E0BA1" w:rsidP="002E0BA1">
      <w:pPr>
        <w:rPr>
          <w:rFonts w:ascii="Arial" w:hAnsi="Arial" w:cs="Arial"/>
          <w:i/>
          <w:iCs/>
          <w:sz w:val="26"/>
          <w:szCs w:val="26"/>
        </w:rPr>
      </w:pPr>
      <w:r w:rsidRPr="002E0BA1">
        <w:rPr>
          <w:rFonts w:ascii="Arial" w:hAnsi="Arial" w:cs="Arial"/>
          <w:i/>
          <w:iCs/>
          <w:sz w:val="26"/>
          <w:szCs w:val="26"/>
        </w:rPr>
        <w:t>From HRSA - Please note that MIECHV grant funding cannot be used to support salary costs for MIECHV-funded staff that are reassigned to non-MIECHV duties.</w:t>
      </w:r>
    </w:p>
    <w:p w14:paraId="28B0BCB7" w14:textId="77777777" w:rsidR="002E0BA1" w:rsidRPr="002E0BA1" w:rsidRDefault="002E0BA1" w:rsidP="002E0BA1">
      <w:pPr>
        <w:rPr>
          <w:rFonts w:ascii="Arial" w:hAnsi="Arial" w:cs="Arial"/>
          <w:sz w:val="26"/>
          <w:szCs w:val="26"/>
        </w:rPr>
      </w:pPr>
    </w:p>
    <w:p w14:paraId="1F44855C" w14:textId="77777777" w:rsidR="002E0BA1" w:rsidRPr="002E0BA1" w:rsidRDefault="002E0BA1" w:rsidP="002E0BA1">
      <w:pPr>
        <w:rPr>
          <w:sz w:val="26"/>
          <w:szCs w:val="26"/>
        </w:rPr>
      </w:pPr>
      <w:r w:rsidRPr="002E0BA1">
        <w:rPr>
          <w:sz w:val="26"/>
          <w:szCs w:val="26"/>
        </w:rPr>
        <w:t xml:space="preserve">The majority of these programs are Nurse-Family Partnership programs. They are funded by MDHHS through the federal MIECHV funds as well as general fun, ,and some also receive Medicaid match. </w:t>
      </w:r>
    </w:p>
    <w:p w14:paraId="22BCDBD6" w14:textId="77777777" w:rsidR="002E0BA1" w:rsidRPr="002E0BA1" w:rsidRDefault="002E0BA1" w:rsidP="002E0BA1">
      <w:pPr>
        <w:rPr>
          <w:sz w:val="26"/>
          <w:szCs w:val="26"/>
        </w:rPr>
      </w:pPr>
    </w:p>
    <w:p w14:paraId="424A6A2C" w14:textId="77777777" w:rsidR="002E0BA1" w:rsidRPr="002E0BA1" w:rsidRDefault="002E0BA1" w:rsidP="002E0BA1">
      <w:pPr>
        <w:rPr>
          <w:sz w:val="26"/>
          <w:szCs w:val="26"/>
        </w:rPr>
      </w:pPr>
      <w:r w:rsidRPr="002E0BA1">
        <w:rPr>
          <w:sz w:val="26"/>
          <w:szCs w:val="26"/>
        </w:rPr>
        <w:t xml:space="preserve">We will be sending out notification to our grantees that the use of MIECHV funding in this manner is not allowable. This may create some difficulty within the LHD so we wanted you to be aware. </w:t>
      </w:r>
    </w:p>
    <w:p w14:paraId="3BD7F420" w14:textId="77777777" w:rsidR="002E0BA1" w:rsidRPr="002E0BA1" w:rsidRDefault="002E0BA1" w:rsidP="002E0BA1">
      <w:pPr>
        <w:rPr>
          <w:sz w:val="26"/>
          <w:szCs w:val="26"/>
        </w:rPr>
      </w:pPr>
    </w:p>
    <w:p w14:paraId="66BD36CE" w14:textId="77777777" w:rsidR="002E0BA1" w:rsidRPr="002E0BA1" w:rsidRDefault="002E0BA1" w:rsidP="002E0BA1">
      <w:pPr>
        <w:rPr>
          <w:sz w:val="26"/>
          <w:szCs w:val="26"/>
        </w:rPr>
      </w:pPr>
      <w:r w:rsidRPr="002E0BA1">
        <w:rPr>
          <w:sz w:val="26"/>
          <w:szCs w:val="26"/>
        </w:rPr>
        <w:t xml:space="preserve">Because most of these impacted LHD have both federal and GF funding from MDHHS, there might not be an immediate need to address this if LHD can document that they are spending the GF first prior to the MIECHV dollars for these activities.  As the funding is combined into one contract, this might be tricky, but it is doable.  To the best of my knowledge, there hasn’t been any guidance from the State of Michigan regarding how GF can be used during this crisis and if there are similar restrictions. </w:t>
      </w:r>
    </w:p>
    <w:p w14:paraId="03EC6C1C" w14:textId="77777777" w:rsidR="002E0BA1" w:rsidRPr="002E0BA1" w:rsidRDefault="002E0BA1" w:rsidP="002E0BA1">
      <w:pPr>
        <w:rPr>
          <w:sz w:val="26"/>
          <w:szCs w:val="26"/>
        </w:rPr>
      </w:pPr>
    </w:p>
    <w:p w14:paraId="1FFC1789" w14:textId="77777777" w:rsidR="002E0BA1" w:rsidRPr="002E0BA1" w:rsidRDefault="002E0BA1" w:rsidP="002E0BA1">
      <w:pPr>
        <w:rPr>
          <w:sz w:val="26"/>
          <w:szCs w:val="26"/>
        </w:rPr>
      </w:pPr>
      <w:r w:rsidRPr="002E0BA1">
        <w:rPr>
          <w:sz w:val="26"/>
          <w:szCs w:val="26"/>
        </w:rPr>
        <w:t xml:space="preserve">I wanted to notify you that this was happening and: </w:t>
      </w:r>
    </w:p>
    <w:p w14:paraId="251FA070" w14:textId="77777777" w:rsidR="002E0BA1" w:rsidRPr="002E0BA1" w:rsidRDefault="002E0BA1" w:rsidP="002E0BA1">
      <w:pPr>
        <w:rPr>
          <w:sz w:val="26"/>
          <w:szCs w:val="26"/>
        </w:rPr>
      </w:pPr>
    </w:p>
    <w:p w14:paraId="495AAEF8" w14:textId="77777777" w:rsidR="002E0BA1" w:rsidRPr="002E0BA1" w:rsidRDefault="002E0BA1" w:rsidP="002E0BA1">
      <w:pPr>
        <w:pStyle w:val="ListParagraph"/>
        <w:numPr>
          <w:ilvl w:val="0"/>
          <w:numId w:val="1"/>
        </w:numPr>
        <w:rPr>
          <w:rFonts w:eastAsia="Times New Roman"/>
          <w:sz w:val="26"/>
          <w:szCs w:val="26"/>
        </w:rPr>
      </w:pPr>
      <w:r w:rsidRPr="002E0BA1">
        <w:rPr>
          <w:rFonts w:eastAsia="Times New Roman"/>
          <w:sz w:val="26"/>
          <w:szCs w:val="26"/>
        </w:rPr>
        <w:t>Determine if there is anything that we currently think would prevent GF funding that we give them to be used for non-home visiting activities,</w:t>
      </w:r>
    </w:p>
    <w:p w14:paraId="36F74878" w14:textId="77777777" w:rsidR="002E0BA1" w:rsidRPr="002E0BA1" w:rsidRDefault="002E0BA1" w:rsidP="002E0BA1">
      <w:pPr>
        <w:pStyle w:val="ListParagraph"/>
        <w:numPr>
          <w:ilvl w:val="0"/>
          <w:numId w:val="1"/>
        </w:numPr>
        <w:rPr>
          <w:rFonts w:eastAsia="Times New Roman"/>
          <w:sz w:val="26"/>
          <w:szCs w:val="26"/>
        </w:rPr>
      </w:pPr>
      <w:r w:rsidRPr="002E0BA1">
        <w:rPr>
          <w:rFonts w:eastAsia="Times New Roman"/>
          <w:sz w:val="26"/>
          <w:szCs w:val="26"/>
        </w:rPr>
        <w:t>Determine if a call is necessary to discuss this,</w:t>
      </w:r>
    </w:p>
    <w:p w14:paraId="47A3FE68" w14:textId="77777777" w:rsidR="002E0BA1" w:rsidRPr="002E0BA1" w:rsidRDefault="002E0BA1" w:rsidP="002E0BA1">
      <w:pPr>
        <w:pStyle w:val="ListParagraph"/>
        <w:numPr>
          <w:ilvl w:val="0"/>
          <w:numId w:val="1"/>
        </w:numPr>
        <w:rPr>
          <w:rFonts w:eastAsia="Times New Roman"/>
          <w:sz w:val="26"/>
          <w:szCs w:val="26"/>
        </w:rPr>
      </w:pPr>
      <w:r w:rsidRPr="002E0BA1">
        <w:rPr>
          <w:rFonts w:eastAsia="Times New Roman"/>
          <w:sz w:val="26"/>
          <w:szCs w:val="26"/>
        </w:rPr>
        <w:t>Develop a plan for funding options should additional funding be necessary.</w:t>
      </w:r>
    </w:p>
    <w:p w14:paraId="7963BB50" w14:textId="77777777" w:rsidR="002E0BA1" w:rsidRPr="002E0BA1" w:rsidRDefault="002E0BA1" w:rsidP="002E0BA1">
      <w:pPr>
        <w:rPr>
          <w:sz w:val="26"/>
          <w:szCs w:val="26"/>
        </w:rPr>
      </w:pPr>
    </w:p>
    <w:p w14:paraId="0215DC9C" w14:textId="77777777" w:rsidR="002E0BA1" w:rsidRPr="002E0BA1" w:rsidRDefault="002E0BA1" w:rsidP="002E0BA1">
      <w:pPr>
        <w:rPr>
          <w:sz w:val="26"/>
          <w:szCs w:val="26"/>
        </w:rPr>
      </w:pPr>
      <w:r w:rsidRPr="002E0BA1">
        <w:rPr>
          <w:sz w:val="26"/>
          <w:szCs w:val="26"/>
        </w:rPr>
        <w:t xml:space="preserve">Please let us know what questions you have about this.  </w:t>
      </w:r>
    </w:p>
    <w:p w14:paraId="1BBCF98E" w14:textId="77777777" w:rsidR="002E0BA1" w:rsidRPr="002E0BA1" w:rsidRDefault="002E0BA1" w:rsidP="002E0BA1">
      <w:pPr>
        <w:rPr>
          <w:sz w:val="26"/>
          <w:szCs w:val="26"/>
        </w:rPr>
      </w:pPr>
    </w:p>
    <w:p w14:paraId="3BBE8EDC" w14:textId="77777777" w:rsidR="002E0BA1" w:rsidRPr="002E0BA1" w:rsidRDefault="002E0BA1" w:rsidP="002E0BA1">
      <w:pPr>
        <w:rPr>
          <w:sz w:val="26"/>
          <w:szCs w:val="26"/>
        </w:rPr>
      </w:pPr>
      <w:r w:rsidRPr="002E0BA1">
        <w:rPr>
          <w:sz w:val="26"/>
          <w:szCs w:val="26"/>
        </w:rPr>
        <w:t>Thank you,</w:t>
      </w:r>
    </w:p>
    <w:p w14:paraId="187B6956" w14:textId="77777777" w:rsidR="002E0BA1" w:rsidRPr="002E0BA1" w:rsidRDefault="002E0BA1" w:rsidP="002E0BA1">
      <w:pPr>
        <w:rPr>
          <w:sz w:val="26"/>
          <w:szCs w:val="26"/>
        </w:rPr>
      </w:pPr>
    </w:p>
    <w:p w14:paraId="5184D2CC" w14:textId="77777777" w:rsidR="002E0BA1" w:rsidRPr="002E0BA1" w:rsidRDefault="002E0BA1" w:rsidP="002E0BA1">
      <w:pPr>
        <w:rPr>
          <w:sz w:val="26"/>
          <w:szCs w:val="26"/>
        </w:rPr>
      </w:pPr>
      <w:r w:rsidRPr="002E0BA1">
        <w:rPr>
          <w:sz w:val="26"/>
          <w:szCs w:val="26"/>
        </w:rPr>
        <w:t>Tiffany</w:t>
      </w:r>
    </w:p>
    <w:p w14:paraId="6F97ABAE" w14:textId="77777777" w:rsidR="002E0BA1" w:rsidRPr="002E0BA1" w:rsidRDefault="002E0BA1" w:rsidP="002E0BA1">
      <w:pPr>
        <w:rPr>
          <w:sz w:val="26"/>
          <w:szCs w:val="26"/>
        </w:rPr>
      </w:pPr>
    </w:p>
    <w:p w14:paraId="28A22EAB" w14:textId="77777777" w:rsidR="002E0BA1" w:rsidRPr="002E0BA1" w:rsidRDefault="002E0BA1" w:rsidP="002E0BA1">
      <w:pPr>
        <w:rPr>
          <w:sz w:val="26"/>
          <w:szCs w:val="26"/>
        </w:rPr>
      </w:pPr>
    </w:p>
    <w:p w14:paraId="70E524B8" w14:textId="77777777" w:rsidR="002E0BA1" w:rsidRPr="002E0BA1" w:rsidRDefault="002E0BA1" w:rsidP="002E0BA1">
      <w:pPr>
        <w:rPr>
          <w:sz w:val="26"/>
          <w:szCs w:val="26"/>
        </w:rPr>
      </w:pPr>
    </w:p>
    <w:p w14:paraId="21BE9571" w14:textId="77777777" w:rsidR="002E0BA1" w:rsidRPr="002E0BA1" w:rsidRDefault="002E0BA1" w:rsidP="002E0BA1">
      <w:pPr>
        <w:rPr>
          <w:sz w:val="26"/>
          <w:szCs w:val="26"/>
        </w:rPr>
      </w:pPr>
    </w:p>
    <w:p w14:paraId="2777C76D" w14:textId="77777777" w:rsidR="002E0BA1" w:rsidRPr="002E0BA1" w:rsidRDefault="002E0BA1" w:rsidP="002E0BA1">
      <w:pPr>
        <w:rPr>
          <w:rFonts w:ascii="Tahoma" w:hAnsi="Tahoma" w:cs="Tahoma"/>
          <w:sz w:val="26"/>
          <w:szCs w:val="26"/>
        </w:rPr>
      </w:pPr>
      <w:r w:rsidRPr="002E0BA1">
        <w:rPr>
          <w:rFonts w:ascii="Tahoma" w:hAnsi="Tahoma" w:cs="Tahoma"/>
          <w:sz w:val="26"/>
          <w:szCs w:val="26"/>
        </w:rPr>
        <w:t>Tiffany Kostelec</w:t>
      </w:r>
    </w:p>
    <w:p w14:paraId="392A5CFE" w14:textId="77777777" w:rsidR="002E0BA1" w:rsidRPr="002E0BA1" w:rsidRDefault="002E0BA1" w:rsidP="002E0BA1">
      <w:pPr>
        <w:rPr>
          <w:rFonts w:ascii="Tahoma" w:hAnsi="Tahoma" w:cs="Tahoma"/>
          <w:sz w:val="26"/>
          <w:szCs w:val="26"/>
        </w:rPr>
      </w:pPr>
      <w:r w:rsidRPr="002E0BA1">
        <w:rPr>
          <w:rFonts w:ascii="Tahoma" w:hAnsi="Tahoma" w:cs="Tahoma"/>
          <w:sz w:val="26"/>
          <w:szCs w:val="26"/>
        </w:rPr>
        <w:t>Manager, Home Visiting Unit</w:t>
      </w:r>
    </w:p>
    <w:p w14:paraId="293E3F30" w14:textId="77777777" w:rsidR="002E0BA1" w:rsidRPr="002E0BA1" w:rsidRDefault="002E0BA1" w:rsidP="002E0BA1">
      <w:pPr>
        <w:rPr>
          <w:rFonts w:ascii="Tahoma" w:hAnsi="Tahoma" w:cs="Tahoma"/>
          <w:sz w:val="26"/>
          <w:szCs w:val="26"/>
        </w:rPr>
      </w:pPr>
      <w:r w:rsidRPr="002E0BA1">
        <w:rPr>
          <w:rFonts w:ascii="Tahoma" w:hAnsi="Tahoma" w:cs="Tahoma"/>
          <w:sz w:val="26"/>
          <w:szCs w:val="26"/>
        </w:rPr>
        <w:t>Michigan Department of Health and Human Services</w:t>
      </w:r>
    </w:p>
    <w:p w14:paraId="540ACFC8" w14:textId="77777777" w:rsidR="002E0BA1" w:rsidRPr="002E0BA1" w:rsidRDefault="002E0BA1" w:rsidP="002E0BA1">
      <w:pPr>
        <w:rPr>
          <w:rFonts w:ascii="Tahoma" w:hAnsi="Tahoma" w:cs="Tahoma"/>
          <w:sz w:val="26"/>
          <w:szCs w:val="26"/>
        </w:rPr>
      </w:pPr>
      <w:r w:rsidRPr="002E0BA1">
        <w:rPr>
          <w:rFonts w:ascii="Tahoma" w:hAnsi="Tahoma" w:cs="Tahoma"/>
          <w:sz w:val="26"/>
          <w:szCs w:val="26"/>
        </w:rPr>
        <w:t>109 W. Michigan Ave, 7</w:t>
      </w:r>
      <w:r w:rsidRPr="002E0BA1">
        <w:rPr>
          <w:rFonts w:ascii="Tahoma" w:hAnsi="Tahoma" w:cs="Tahoma"/>
          <w:sz w:val="26"/>
          <w:szCs w:val="26"/>
          <w:vertAlign w:val="superscript"/>
        </w:rPr>
        <w:t>th</w:t>
      </w:r>
      <w:r w:rsidRPr="002E0BA1">
        <w:rPr>
          <w:rFonts w:ascii="Tahoma" w:hAnsi="Tahoma" w:cs="Tahoma"/>
          <w:sz w:val="26"/>
          <w:szCs w:val="26"/>
        </w:rPr>
        <w:t xml:space="preserve"> FL</w:t>
      </w:r>
    </w:p>
    <w:p w14:paraId="3DD2001A" w14:textId="77777777" w:rsidR="002E0BA1" w:rsidRPr="002E0BA1" w:rsidRDefault="002E0BA1" w:rsidP="002E0BA1">
      <w:pPr>
        <w:rPr>
          <w:rFonts w:ascii="Tahoma" w:hAnsi="Tahoma" w:cs="Tahoma"/>
          <w:sz w:val="26"/>
          <w:szCs w:val="26"/>
        </w:rPr>
      </w:pPr>
      <w:r w:rsidRPr="002E0BA1">
        <w:rPr>
          <w:rFonts w:ascii="Tahoma" w:hAnsi="Tahoma" w:cs="Tahoma"/>
          <w:sz w:val="26"/>
          <w:szCs w:val="26"/>
        </w:rPr>
        <w:t>Lansing, MI 48933</w:t>
      </w:r>
    </w:p>
    <w:p w14:paraId="3C5AB41F" w14:textId="77777777" w:rsidR="002E0BA1" w:rsidRPr="002E0BA1" w:rsidRDefault="002E0BA1" w:rsidP="002E0BA1">
      <w:pPr>
        <w:rPr>
          <w:rFonts w:ascii="Tahoma" w:hAnsi="Tahoma" w:cs="Tahoma"/>
          <w:sz w:val="26"/>
          <w:szCs w:val="26"/>
        </w:rPr>
      </w:pPr>
      <w:r w:rsidRPr="002E0BA1">
        <w:rPr>
          <w:rFonts w:ascii="Tahoma" w:hAnsi="Tahoma" w:cs="Tahoma"/>
          <w:sz w:val="26"/>
          <w:szCs w:val="26"/>
        </w:rPr>
        <w:t>T- 517.335.4663</w:t>
      </w:r>
    </w:p>
    <w:p w14:paraId="7EBCD875" w14:textId="77777777" w:rsidR="002E0BA1" w:rsidRPr="002E0BA1" w:rsidRDefault="008E4921" w:rsidP="002E0BA1">
      <w:pPr>
        <w:rPr>
          <w:rFonts w:ascii="Tahoma" w:hAnsi="Tahoma" w:cs="Tahoma"/>
          <w:sz w:val="26"/>
          <w:szCs w:val="26"/>
        </w:rPr>
      </w:pPr>
      <w:hyperlink r:id="rId5" w:history="1">
        <w:r w:rsidR="002E0BA1" w:rsidRPr="002E0BA1">
          <w:rPr>
            <w:rStyle w:val="Hyperlink"/>
            <w:rFonts w:ascii="Tahoma" w:hAnsi="Tahoma" w:cs="Tahoma"/>
            <w:sz w:val="26"/>
            <w:szCs w:val="26"/>
          </w:rPr>
          <w:t>kostelect@michigan.gov</w:t>
        </w:r>
      </w:hyperlink>
      <w:r w:rsidR="002E0BA1" w:rsidRPr="002E0BA1">
        <w:rPr>
          <w:rFonts w:ascii="Tahoma" w:hAnsi="Tahoma" w:cs="Tahoma"/>
          <w:sz w:val="26"/>
          <w:szCs w:val="26"/>
        </w:rPr>
        <w:t xml:space="preserve"> </w:t>
      </w:r>
    </w:p>
    <w:p w14:paraId="085AF0EC" w14:textId="77777777" w:rsidR="00DB6BF3" w:rsidRPr="002E0BA1" w:rsidRDefault="008E4921">
      <w:pPr>
        <w:rPr>
          <w:sz w:val="26"/>
          <w:szCs w:val="26"/>
        </w:rPr>
      </w:pPr>
    </w:p>
    <w:sectPr w:rsidR="00DB6BF3" w:rsidRPr="002E0B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094F09"/>
    <w:multiLevelType w:val="hybridMultilevel"/>
    <w:tmpl w:val="D504B2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A1"/>
    <w:rsid w:val="00293044"/>
    <w:rsid w:val="002E0BA1"/>
    <w:rsid w:val="005F7B8E"/>
    <w:rsid w:val="00860CAA"/>
    <w:rsid w:val="008E4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38226"/>
  <w15:chartTrackingRefBased/>
  <w15:docId w15:val="{9B3451AE-E275-46B7-A3F1-B76EDC44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BA1"/>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E0BA1"/>
    <w:rPr>
      <w:color w:val="0563C1"/>
      <w:u w:val="single"/>
    </w:rPr>
  </w:style>
  <w:style w:type="paragraph" w:styleId="ListParagraph">
    <w:name w:val="List Paragraph"/>
    <w:basedOn w:val="Normal"/>
    <w:uiPriority w:val="34"/>
    <w:qFormat/>
    <w:rsid w:val="002E0BA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924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stelect@michigan.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Swain</dc:creator>
  <cp:keywords/>
  <dc:description/>
  <cp:lastModifiedBy>Jodie Shaver</cp:lastModifiedBy>
  <cp:revision>2</cp:revision>
  <dcterms:created xsi:type="dcterms:W3CDTF">2020-04-17T20:32:00Z</dcterms:created>
  <dcterms:modified xsi:type="dcterms:W3CDTF">2020-04-17T20:32:00Z</dcterms:modified>
</cp:coreProperties>
</file>