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9258" w14:textId="77777777" w:rsidR="002C3F01" w:rsidRPr="000C654F" w:rsidRDefault="00DC4A01" w:rsidP="00DB17AD">
      <w:pPr>
        <w:spacing w:after="0" w:line="360" w:lineRule="auto"/>
        <w:jc w:val="center"/>
        <w:rPr>
          <w:b/>
          <w:sz w:val="28"/>
          <w:szCs w:val="28"/>
        </w:rPr>
      </w:pPr>
      <w:r w:rsidRPr="000C654F">
        <w:rPr>
          <w:b/>
          <w:sz w:val="28"/>
          <w:szCs w:val="28"/>
        </w:rPr>
        <w:t xml:space="preserve">Training </w:t>
      </w:r>
      <w:r w:rsidR="00B73CC5">
        <w:rPr>
          <w:b/>
          <w:sz w:val="28"/>
          <w:szCs w:val="28"/>
        </w:rPr>
        <w:t>G</w:t>
      </w:r>
      <w:r w:rsidRPr="000C654F">
        <w:rPr>
          <w:b/>
          <w:sz w:val="28"/>
          <w:szCs w:val="28"/>
        </w:rPr>
        <w:t>uide</w:t>
      </w:r>
      <w:r w:rsidR="001A0855" w:rsidRPr="000C654F">
        <w:rPr>
          <w:b/>
          <w:sz w:val="28"/>
          <w:szCs w:val="28"/>
        </w:rPr>
        <w:t xml:space="preserve"> to </w:t>
      </w:r>
      <w:r w:rsidR="00B73CC5">
        <w:rPr>
          <w:b/>
          <w:sz w:val="28"/>
          <w:szCs w:val="28"/>
        </w:rPr>
        <w:t>M</w:t>
      </w:r>
      <w:r w:rsidR="001A0855" w:rsidRPr="000C654F">
        <w:rPr>
          <w:b/>
          <w:sz w:val="28"/>
          <w:szCs w:val="28"/>
        </w:rPr>
        <w:t>eet MPR 12</w:t>
      </w:r>
      <w:r w:rsidR="007470CD">
        <w:rPr>
          <w:b/>
          <w:sz w:val="28"/>
          <w:szCs w:val="28"/>
        </w:rPr>
        <w:t xml:space="preserve"> for Cycle 8</w:t>
      </w:r>
    </w:p>
    <w:p w14:paraId="01A31EC0" w14:textId="77777777" w:rsidR="00B73CC5" w:rsidRDefault="00B73CC5" w:rsidP="00B73CC5">
      <w:pPr>
        <w:spacing w:after="0" w:line="360" w:lineRule="auto"/>
        <w:rPr>
          <w:sz w:val="24"/>
          <w:szCs w:val="24"/>
        </w:rPr>
      </w:pPr>
    </w:p>
    <w:p w14:paraId="69DF6AFD" w14:textId="77777777" w:rsidR="00DC4A01" w:rsidRPr="000C654F" w:rsidRDefault="00DC4A01" w:rsidP="00DB17AD">
      <w:pPr>
        <w:spacing w:line="360" w:lineRule="auto"/>
        <w:rPr>
          <w:sz w:val="24"/>
          <w:szCs w:val="24"/>
        </w:rPr>
      </w:pPr>
      <w:r w:rsidRPr="000C654F">
        <w:rPr>
          <w:sz w:val="24"/>
          <w:szCs w:val="24"/>
        </w:rPr>
        <w:t xml:space="preserve">The attached list of training </w:t>
      </w:r>
      <w:r w:rsidR="006D2B62">
        <w:rPr>
          <w:sz w:val="24"/>
          <w:szCs w:val="24"/>
        </w:rPr>
        <w:t xml:space="preserve">is </w:t>
      </w:r>
      <w:r w:rsidRPr="000C654F">
        <w:rPr>
          <w:sz w:val="24"/>
          <w:szCs w:val="24"/>
        </w:rPr>
        <w:t xml:space="preserve">intended to be the </w:t>
      </w:r>
      <w:r w:rsidR="001A180E">
        <w:rPr>
          <w:sz w:val="24"/>
          <w:szCs w:val="24"/>
        </w:rPr>
        <w:t xml:space="preserve">MALEHA Food Committee’s recommendations </w:t>
      </w:r>
      <w:r w:rsidRPr="000C654F">
        <w:rPr>
          <w:sz w:val="24"/>
          <w:szCs w:val="24"/>
        </w:rPr>
        <w:t xml:space="preserve">to meet MPR 12. This </w:t>
      </w:r>
      <w:r w:rsidR="006D2B62">
        <w:rPr>
          <w:sz w:val="24"/>
          <w:szCs w:val="24"/>
        </w:rPr>
        <w:t xml:space="preserve">document </w:t>
      </w:r>
      <w:r w:rsidR="00B0274B">
        <w:rPr>
          <w:sz w:val="24"/>
          <w:szCs w:val="24"/>
        </w:rPr>
        <w:t>was</w:t>
      </w:r>
      <w:r w:rsidRPr="000C654F">
        <w:rPr>
          <w:sz w:val="24"/>
          <w:szCs w:val="24"/>
        </w:rPr>
        <w:t xml:space="preserve"> developed by </w:t>
      </w:r>
      <w:r w:rsidR="00132659" w:rsidRPr="000C654F">
        <w:rPr>
          <w:sz w:val="24"/>
          <w:szCs w:val="24"/>
        </w:rPr>
        <w:t xml:space="preserve">the </w:t>
      </w:r>
      <w:r w:rsidR="00772204">
        <w:rPr>
          <w:sz w:val="24"/>
          <w:szCs w:val="24"/>
        </w:rPr>
        <w:t>MA</w:t>
      </w:r>
      <w:r w:rsidRPr="000C654F">
        <w:rPr>
          <w:sz w:val="24"/>
          <w:szCs w:val="24"/>
        </w:rPr>
        <w:t>LEHA</w:t>
      </w:r>
      <w:r w:rsidR="00132659" w:rsidRPr="000C654F">
        <w:rPr>
          <w:sz w:val="24"/>
          <w:szCs w:val="24"/>
        </w:rPr>
        <w:t xml:space="preserve"> food committee and</w:t>
      </w:r>
      <w:r w:rsidRPr="000C654F">
        <w:rPr>
          <w:sz w:val="24"/>
          <w:szCs w:val="24"/>
        </w:rPr>
        <w:t xml:space="preserve"> reviewed by MDARD </w:t>
      </w:r>
      <w:r w:rsidR="003249A0">
        <w:rPr>
          <w:sz w:val="24"/>
          <w:szCs w:val="24"/>
        </w:rPr>
        <w:t>to</w:t>
      </w:r>
      <w:r w:rsidRPr="000C654F">
        <w:rPr>
          <w:sz w:val="24"/>
          <w:szCs w:val="24"/>
        </w:rPr>
        <w:t xml:space="preserve"> meet the intent for MPR 12</w:t>
      </w:r>
      <w:r w:rsidR="001A180E">
        <w:rPr>
          <w:sz w:val="24"/>
          <w:szCs w:val="24"/>
        </w:rPr>
        <w:t xml:space="preserve"> for Cycle 8</w:t>
      </w:r>
      <w:r w:rsidRPr="000C654F">
        <w:rPr>
          <w:sz w:val="24"/>
          <w:szCs w:val="24"/>
        </w:rPr>
        <w:t>.</w:t>
      </w:r>
    </w:p>
    <w:p w14:paraId="3B185171" w14:textId="77777777" w:rsidR="00B0274B" w:rsidRDefault="00DC4A01" w:rsidP="00DB17AD">
      <w:pPr>
        <w:spacing w:after="0" w:line="360" w:lineRule="auto"/>
        <w:rPr>
          <w:sz w:val="24"/>
          <w:szCs w:val="24"/>
        </w:rPr>
      </w:pPr>
      <w:r w:rsidRPr="003249A0">
        <w:rPr>
          <w:sz w:val="24"/>
          <w:szCs w:val="24"/>
        </w:rPr>
        <w:t xml:space="preserve">The training is split </w:t>
      </w:r>
      <w:r w:rsidR="00E1203C" w:rsidRPr="003249A0">
        <w:rPr>
          <w:sz w:val="24"/>
          <w:szCs w:val="24"/>
        </w:rPr>
        <w:t xml:space="preserve">into two </w:t>
      </w:r>
      <w:r w:rsidR="00B0274B">
        <w:rPr>
          <w:sz w:val="24"/>
          <w:szCs w:val="24"/>
        </w:rPr>
        <w:t>sections</w:t>
      </w:r>
      <w:r w:rsidR="00E1203C" w:rsidRPr="003249A0">
        <w:rPr>
          <w:sz w:val="24"/>
          <w:szCs w:val="24"/>
        </w:rPr>
        <w:t xml:space="preserve">. </w:t>
      </w:r>
    </w:p>
    <w:p w14:paraId="2EF91FB6" w14:textId="77777777" w:rsidR="00BA0EE9" w:rsidRPr="003249A0" w:rsidRDefault="00E1203C" w:rsidP="00DB17A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249A0">
        <w:rPr>
          <w:sz w:val="24"/>
          <w:szCs w:val="24"/>
        </w:rPr>
        <w:t>T</w:t>
      </w:r>
      <w:r w:rsidR="00DC4A01" w:rsidRPr="003249A0">
        <w:rPr>
          <w:sz w:val="24"/>
          <w:szCs w:val="24"/>
        </w:rPr>
        <w:t xml:space="preserve">he first </w:t>
      </w:r>
      <w:r w:rsidR="00B0274B">
        <w:rPr>
          <w:sz w:val="24"/>
          <w:szCs w:val="24"/>
        </w:rPr>
        <w:t>section</w:t>
      </w:r>
      <w:r w:rsidR="00DC4A01" w:rsidRPr="003249A0">
        <w:rPr>
          <w:sz w:val="24"/>
          <w:szCs w:val="24"/>
        </w:rPr>
        <w:t xml:space="preserve"> of 3</w:t>
      </w:r>
      <w:r w:rsidR="00383C5E">
        <w:rPr>
          <w:sz w:val="24"/>
          <w:szCs w:val="24"/>
        </w:rPr>
        <w:t>2</w:t>
      </w:r>
      <w:r w:rsidR="00DC4A01" w:rsidRPr="003249A0">
        <w:rPr>
          <w:sz w:val="24"/>
          <w:szCs w:val="24"/>
        </w:rPr>
        <w:t xml:space="preserve"> classes </w:t>
      </w:r>
      <w:r w:rsidR="00A75395">
        <w:rPr>
          <w:sz w:val="24"/>
          <w:szCs w:val="24"/>
        </w:rPr>
        <w:t>is</w:t>
      </w:r>
      <w:r w:rsidR="00DC4A01" w:rsidRPr="003249A0">
        <w:rPr>
          <w:sz w:val="24"/>
          <w:szCs w:val="24"/>
        </w:rPr>
        <w:t xml:space="preserve"> </w:t>
      </w:r>
      <w:r w:rsidR="00B0274B">
        <w:rPr>
          <w:sz w:val="24"/>
          <w:szCs w:val="24"/>
        </w:rPr>
        <w:t xml:space="preserve">intended </w:t>
      </w:r>
      <w:r w:rsidR="00DC4A01" w:rsidRPr="003249A0">
        <w:rPr>
          <w:sz w:val="24"/>
          <w:szCs w:val="24"/>
        </w:rPr>
        <w:t>to coincide with the first 25 joint inspections</w:t>
      </w:r>
      <w:r w:rsidR="00A75395">
        <w:rPr>
          <w:sz w:val="24"/>
          <w:szCs w:val="24"/>
        </w:rPr>
        <w:t>, and is to be completed before conducting independent inspections</w:t>
      </w:r>
      <w:r w:rsidR="00DC4A01" w:rsidRPr="003249A0">
        <w:rPr>
          <w:sz w:val="24"/>
          <w:szCs w:val="24"/>
        </w:rPr>
        <w:t>.</w:t>
      </w:r>
      <w:r w:rsidRPr="003249A0">
        <w:rPr>
          <w:sz w:val="24"/>
          <w:szCs w:val="24"/>
        </w:rPr>
        <w:t xml:space="preserve"> The goal of the first</w:t>
      </w:r>
      <w:r w:rsidR="00B0274B">
        <w:rPr>
          <w:sz w:val="24"/>
          <w:szCs w:val="24"/>
        </w:rPr>
        <w:t xml:space="preserve"> section</w:t>
      </w:r>
      <w:r w:rsidRPr="003249A0">
        <w:rPr>
          <w:sz w:val="24"/>
          <w:szCs w:val="24"/>
        </w:rPr>
        <w:t xml:space="preserve"> is to provide basic food code knowledge</w:t>
      </w:r>
      <w:r w:rsidR="00B0274B">
        <w:rPr>
          <w:sz w:val="24"/>
          <w:szCs w:val="24"/>
        </w:rPr>
        <w:t>, inspection techniques, and</w:t>
      </w:r>
      <w:r w:rsidRPr="003249A0">
        <w:rPr>
          <w:sz w:val="24"/>
          <w:szCs w:val="24"/>
        </w:rPr>
        <w:t xml:space="preserve"> refresher</w:t>
      </w:r>
      <w:r w:rsidR="00BA0EE9" w:rsidRPr="003249A0">
        <w:rPr>
          <w:sz w:val="24"/>
          <w:szCs w:val="24"/>
        </w:rPr>
        <w:t xml:space="preserve"> courses in micro</w:t>
      </w:r>
      <w:r w:rsidRPr="003249A0">
        <w:rPr>
          <w:sz w:val="24"/>
          <w:szCs w:val="24"/>
        </w:rPr>
        <w:t>biology.</w:t>
      </w:r>
      <w:r w:rsidR="00DC4A01" w:rsidRPr="003249A0">
        <w:rPr>
          <w:sz w:val="24"/>
          <w:szCs w:val="24"/>
        </w:rPr>
        <w:t xml:space="preserve"> </w:t>
      </w:r>
    </w:p>
    <w:p w14:paraId="264263C8" w14:textId="77777777" w:rsidR="00BA0EE9" w:rsidRPr="000C654F" w:rsidRDefault="00DC4A01" w:rsidP="00DB17A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C654F">
        <w:rPr>
          <w:sz w:val="24"/>
          <w:szCs w:val="24"/>
        </w:rPr>
        <w:t xml:space="preserve">The second </w:t>
      </w:r>
      <w:r w:rsidR="00B0274B">
        <w:rPr>
          <w:sz w:val="24"/>
          <w:szCs w:val="24"/>
        </w:rPr>
        <w:t>section</w:t>
      </w:r>
      <w:r w:rsidRPr="000C654F">
        <w:rPr>
          <w:sz w:val="24"/>
          <w:szCs w:val="24"/>
        </w:rPr>
        <w:t xml:space="preserve"> of 1</w:t>
      </w:r>
      <w:r w:rsidR="00B73CC5">
        <w:rPr>
          <w:sz w:val="24"/>
          <w:szCs w:val="24"/>
        </w:rPr>
        <w:t>2</w:t>
      </w:r>
      <w:r w:rsidRPr="000C654F">
        <w:rPr>
          <w:sz w:val="24"/>
          <w:szCs w:val="24"/>
        </w:rPr>
        <w:t xml:space="preserve"> classes </w:t>
      </w:r>
      <w:r w:rsidR="00A75395">
        <w:rPr>
          <w:sz w:val="24"/>
          <w:szCs w:val="24"/>
        </w:rPr>
        <w:t>is</w:t>
      </w:r>
      <w:r w:rsidRPr="000C654F">
        <w:rPr>
          <w:sz w:val="24"/>
          <w:szCs w:val="24"/>
        </w:rPr>
        <w:t xml:space="preserve"> intended to </w:t>
      </w:r>
      <w:r w:rsidR="00B0274B">
        <w:rPr>
          <w:sz w:val="24"/>
          <w:szCs w:val="24"/>
        </w:rPr>
        <w:t>coincide</w:t>
      </w:r>
      <w:r w:rsidRPr="000C654F">
        <w:rPr>
          <w:sz w:val="24"/>
          <w:szCs w:val="24"/>
        </w:rPr>
        <w:t xml:space="preserve"> with the second 25 </w:t>
      </w:r>
      <w:r w:rsidR="00A75395">
        <w:rPr>
          <w:sz w:val="24"/>
          <w:szCs w:val="24"/>
        </w:rPr>
        <w:t xml:space="preserve">independent </w:t>
      </w:r>
      <w:r w:rsidRPr="000C654F">
        <w:rPr>
          <w:sz w:val="24"/>
          <w:szCs w:val="24"/>
        </w:rPr>
        <w:t>inspections</w:t>
      </w:r>
      <w:r w:rsidR="00A75395">
        <w:rPr>
          <w:sz w:val="24"/>
          <w:szCs w:val="24"/>
        </w:rPr>
        <w:t>, and is to be completed before the final evaluation inspections</w:t>
      </w:r>
      <w:r w:rsidRPr="000C654F">
        <w:rPr>
          <w:sz w:val="24"/>
          <w:szCs w:val="24"/>
        </w:rPr>
        <w:t xml:space="preserve">. </w:t>
      </w:r>
      <w:r w:rsidR="00E1203C" w:rsidRPr="000C654F">
        <w:rPr>
          <w:sz w:val="24"/>
          <w:szCs w:val="24"/>
        </w:rPr>
        <w:t xml:space="preserve">The focus of the second group of courses is to educate the trainee in aspects of Foodborne Illness and HACCP.  </w:t>
      </w:r>
    </w:p>
    <w:p w14:paraId="5BFAC140" w14:textId="77777777" w:rsidR="00E1203C" w:rsidRPr="000C654F" w:rsidRDefault="00E1203C" w:rsidP="00DB17A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C654F">
        <w:rPr>
          <w:sz w:val="24"/>
          <w:szCs w:val="24"/>
        </w:rPr>
        <w:t xml:space="preserve">The MDARD Food Code and Food Law training is also required </w:t>
      </w:r>
      <w:r w:rsidR="00A75395">
        <w:rPr>
          <w:sz w:val="24"/>
          <w:szCs w:val="24"/>
        </w:rPr>
        <w:t xml:space="preserve">to be completed </w:t>
      </w:r>
      <w:r w:rsidR="00B0274B">
        <w:rPr>
          <w:sz w:val="24"/>
          <w:szCs w:val="24"/>
        </w:rPr>
        <w:t>with</w:t>
      </w:r>
      <w:r w:rsidRPr="000C654F">
        <w:rPr>
          <w:sz w:val="24"/>
          <w:szCs w:val="24"/>
        </w:rPr>
        <w:t>in</w:t>
      </w:r>
      <w:r w:rsidR="00A75395">
        <w:rPr>
          <w:sz w:val="24"/>
          <w:szCs w:val="24"/>
        </w:rPr>
        <w:t xml:space="preserve"> 12 months of assignment to the program,</w:t>
      </w:r>
      <w:r w:rsidRPr="000C654F">
        <w:rPr>
          <w:sz w:val="24"/>
          <w:szCs w:val="24"/>
        </w:rPr>
        <w:t xml:space="preserve"> or as offered</w:t>
      </w:r>
      <w:r w:rsidR="00A75395">
        <w:rPr>
          <w:sz w:val="24"/>
          <w:szCs w:val="24"/>
        </w:rPr>
        <w:t>,</w:t>
      </w:r>
      <w:r w:rsidRPr="000C654F">
        <w:rPr>
          <w:sz w:val="24"/>
          <w:szCs w:val="24"/>
        </w:rPr>
        <w:t xml:space="preserve"> to complete the </w:t>
      </w:r>
      <w:r w:rsidR="00BA0EE9" w:rsidRPr="000C654F">
        <w:rPr>
          <w:sz w:val="24"/>
          <w:szCs w:val="24"/>
        </w:rPr>
        <w:t>training requirements.</w:t>
      </w:r>
      <w:r w:rsidR="002F646A">
        <w:rPr>
          <w:sz w:val="24"/>
          <w:szCs w:val="24"/>
        </w:rPr>
        <w:t xml:space="preserve"> </w:t>
      </w:r>
      <w:r w:rsidR="007470CD">
        <w:rPr>
          <w:sz w:val="24"/>
          <w:szCs w:val="24"/>
        </w:rPr>
        <w:t>This course m</w:t>
      </w:r>
      <w:r w:rsidR="002F646A">
        <w:rPr>
          <w:sz w:val="24"/>
          <w:szCs w:val="24"/>
        </w:rPr>
        <w:t>ay be completed within 18 months for an employee not assigned full time.</w:t>
      </w:r>
    </w:p>
    <w:p w14:paraId="3DD4AD09" w14:textId="77777777" w:rsidR="00DC4A01" w:rsidRPr="000C654F" w:rsidRDefault="00DC4A01" w:rsidP="00DB17AD">
      <w:pPr>
        <w:spacing w:line="360" w:lineRule="auto"/>
        <w:rPr>
          <w:sz w:val="24"/>
          <w:szCs w:val="24"/>
        </w:rPr>
      </w:pPr>
      <w:r w:rsidRPr="000C654F">
        <w:rPr>
          <w:sz w:val="24"/>
          <w:szCs w:val="24"/>
        </w:rPr>
        <w:t>The goal of training</w:t>
      </w:r>
      <w:r w:rsidR="00772204">
        <w:rPr>
          <w:sz w:val="24"/>
          <w:szCs w:val="24"/>
        </w:rPr>
        <w:t xml:space="preserve"> in this manner is to advance the</w:t>
      </w:r>
      <w:r w:rsidRPr="000C654F">
        <w:rPr>
          <w:sz w:val="24"/>
          <w:szCs w:val="24"/>
        </w:rPr>
        <w:t xml:space="preserve"> education of the trainee as they become more </w:t>
      </w:r>
      <w:r w:rsidR="00E1203C" w:rsidRPr="000C654F">
        <w:rPr>
          <w:sz w:val="24"/>
          <w:szCs w:val="24"/>
        </w:rPr>
        <w:t>experienced in the field.</w:t>
      </w:r>
    </w:p>
    <w:p w14:paraId="22FF049E" w14:textId="77777777" w:rsidR="000C654F" w:rsidRPr="000C654F" w:rsidRDefault="000C654F" w:rsidP="00DB17AD">
      <w:pPr>
        <w:spacing w:after="0" w:line="360" w:lineRule="auto"/>
        <w:jc w:val="center"/>
        <w:rPr>
          <w:b/>
          <w:sz w:val="28"/>
          <w:szCs w:val="28"/>
        </w:rPr>
      </w:pPr>
      <w:r w:rsidRPr="000C654F">
        <w:rPr>
          <w:b/>
          <w:sz w:val="28"/>
          <w:szCs w:val="28"/>
        </w:rPr>
        <w:t>Additional Training Opportunities</w:t>
      </w:r>
    </w:p>
    <w:p w14:paraId="2C60ECC7" w14:textId="77777777" w:rsidR="00DC4A01" w:rsidRDefault="00BA0EE9" w:rsidP="00DB17AD">
      <w:pPr>
        <w:spacing w:after="0" w:line="360" w:lineRule="auto"/>
        <w:rPr>
          <w:sz w:val="24"/>
          <w:szCs w:val="24"/>
        </w:rPr>
      </w:pPr>
      <w:r w:rsidRPr="000C654F">
        <w:rPr>
          <w:sz w:val="24"/>
          <w:szCs w:val="24"/>
        </w:rPr>
        <w:t>Additionally</w:t>
      </w:r>
      <w:r w:rsidR="00B73CC5">
        <w:rPr>
          <w:sz w:val="24"/>
          <w:szCs w:val="24"/>
        </w:rPr>
        <w:t>,</w:t>
      </w:r>
      <w:r w:rsidRPr="000C654F">
        <w:rPr>
          <w:sz w:val="24"/>
          <w:szCs w:val="24"/>
        </w:rPr>
        <w:t xml:space="preserve"> there are a range of</w:t>
      </w:r>
      <w:r w:rsidR="000C654F" w:rsidRPr="000C654F">
        <w:rPr>
          <w:sz w:val="24"/>
          <w:szCs w:val="24"/>
        </w:rPr>
        <w:t xml:space="preserve"> other online learning courses available from FDA and other sources to supplement the training listed in this guidance. </w:t>
      </w:r>
      <w:r w:rsidR="00F672A2">
        <w:rPr>
          <w:sz w:val="24"/>
          <w:szCs w:val="24"/>
        </w:rPr>
        <w:t>A select few</w:t>
      </w:r>
      <w:r w:rsidR="000C654F" w:rsidRPr="000C654F">
        <w:rPr>
          <w:sz w:val="24"/>
          <w:szCs w:val="24"/>
        </w:rPr>
        <w:t xml:space="preserve"> courses are listed along with this guidance</w:t>
      </w:r>
      <w:r w:rsidR="000C654F">
        <w:rPr>
          <w:sz w:val="24"/>
          <w:szCs w:val="24"/>
        </w:rPr>
        <w:t xml:space="preserve"> to provide further opportunities</w:t>
      </w:r>
      <w:r w:rsidR="00A75395">
        <w:rPr>
          <w:sz w:val="24"/>
          <w:szCs w:val="24"/>
        </w:rPr>
        <w:t>,</w:t>
      </w:r>
      <w:r w:rsidR="000C654F">
        <w:rPr>
          <w:sz w:val="24"/>
          <w:szCs w:val="24"/>
        </w:rPr>
        <w:t xml:space="preserve"> and can be added to county or district’s training plan as that organization see</w:t>
      </w:r>
      <w:r w:rsidR="00E05526">
        <w:rPr>
          <w:sz w:val="24"/>
          <w:szCs w:val="24"/>
        </w:rPr>
        <w:t>s</w:t>
      </w:r>
      <w:r w:rsidR="000C654F">
        <w:rPr>
          <w:sz w:val="24"/>
          <w:szCs w:val="24"/>
        </w:rPr>
        <w:t xml:space="preserve"> fit</w:t>
      </w:r>
      <w:r w:rsidR="00B73CC5">
        <w:rPr>
          <w:sz w:val="24"/>
          <w:szCs w:val="24"/>
        </w:rPr>
        <w:t>, or used toward continuing education</w:t>
      </w:r>
      <w:r w:rsidR="000C654F">
        <w:rPr>
          <w:sz w:val="24"/>
          <w:szCs w:val="24"/>
        </w:rPr>
        <w:t>.</w:t>
      </w:r>
    </w:p>
    <w:p w14:paraId="1D685DCB" w14:textId="77777777" w:rsidR="00B73CC5" w:rsidRDefault="00B73CC5" w:rsidP="00B73CC5">
      <w:pPr>
        <w:spacing w:after="0" w:line="360" w:lineRule="auto"/>
        <w:jc w:val="center"/>
        <w:rPr>
          <w:b/>
          <w:sz w:val="28"/>
          <w:szCs w:val="28"/>
        </w:rPr>
      </w:pPr>
    </w:p>
    <w:p w14:paraId="47E303DF" w14:textId="77777777" w:rsidR="00B73CC5" w:rsidRDefault="00B73CC5" w:rsidP="00B73CC5">
      <w:pPr>
        <w:spacing w:after="0" w:line="360" w:lineRule="auto"/>
        <w:jc w:val="center"/>
        <w:rPr>
          <w:b/>
          <w:sz w:val="28"/>
          <w:szCs w:val="28"/>
        </w:rPr>
      </w:pPr>
    </w:p>
    <w:p w14:paraId="6B1854A8" w14:textId="77777777" w:rsidR="007562EA" w:rsidRDefault="00F672A2" w:rsidP="00DB17AD">
      <w:pPr>
        <w:spacing w:after="0" w:line="360" w:lineRule="auto"/>
        <w:jc w:val="center"/>
        <w:rPr>
          <w:sz w:val="24"/>
          <w:szCs w:val="24"/>
        </w:rPr>
      </w:pPr>
      <w:r w:rsidRPr="00F672A2">
        <w:rPr>
          <w:b/>
          <w:sz w:val="28"/>
          <w:szCs w:val="28"/>
        </w:rPr>
        <w:lastRenderedPageBreak/>
        <w:t>Training Courses During the First 25 Inspections</w:t>
      </w:r>
    </w:p>
    <w:tbl>
      <w:tblPr>
        <w:tblpPr w:leftFromText="180" w:rightFromText="180" w:horzAnchor="margin" w:tblpY="570"/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0" w:author="Doug A. Potter" w:date="2020-11-19T13:46:00Z">
          <w:tblPr>
            <w:tblpPr w:leftFromText="180" w:rightFromText="180" w:horzAnchor="margin" w:tblpY="570"/>
            <w:tblW w:w="88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7645"/>
        <w:gridCol w:w="1233"/>
        <w:tblGridChange w:id="1">
          <w:tblGrid>
            <w:gridCol w:w="7645"/>
            <w:gridCol w:w="1233"/>
          </w:tblGrid>
        </w:tblGridChange>
      </w:tblGrid>
      <w:tr w:rsidR="007562EA" w:rsidRPr="007562EA" w14:paraId="257F0323" w14:textId="77777777" w:rsidTr="00383C5E">
        <w:trPr>
          <w:trHeight w:val="257"/>
          <w:trPrChange w:id="2" w:author="Doug A. Potter" w:date="2020-11-19T13:46:00Z">
            <w:trPr>
              <w:trHeight w:val="257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3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F749849" w14:textId="77777777" w:rsidR="007562EA" w:rsidRPr="007562EA" w:rsidRDefault="007562EA" w:rsidP="00BE6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2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MDARD Food Law and Michigan Modified FDA Food Code 2-Day Training Course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4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702E7AF" w14:textId="77777777" w:rsidR="007562EA" w:rsidRPr="007562EA" w:rsidRDefault="007562EA" w:rsidP="00BE6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7562EA" w:rsidRPr="007562EA" w14:paraId="4190C072" w14:textId="77777777" w:rsidTr="00383C5E">
        <w:trPr>
          <w:trHeight w:val="300"/>
          <w:trPrChange w:id="5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6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A81209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Basic Food Law for State Food Regulators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7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EC89F37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FDA35</w:t>
            </w:r>
          </w:p>
        </w:tc>
      </w:tr>
      <w:tr w:rsidR="007562EA" w:rsidRPr="007562EA" w14:paraId="731D4A53" w14:textId="77777777" w:rsidTr="00383C5E">
        <w:trPr>
          <w:trHeight w:val="300"/>
          <w:trPrChange w:id="8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9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933A97B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Basics of Inspection: Beginning an Inspection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10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DF9CC3D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FDA38</w:t>
            </w:r>
          </w:p>
        </w:tc>
      </w:tr>
      <w:tr w:rsidR="007562EA" w:rsidRPr="007562EA" w14:paraId="0F57B042" w14:textId="77777777" w:rsidTr="00383C5E">
        <w:trPr>
          <w:trHeight w:val="300"/>
          <w:trPrChange w:id="11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12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5B95042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Basics of Inspection: Issues &amp; Observations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13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148C26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FDA39</w:t>
            </w:r>
          </w:p>
        </w:tc>
      </w:tr>
      <w:tr w:rsidR="007562EA" w:rsidRPr="007562EA" w14:paraId="0F406106" w14:textId="77777777" w:rsidTr="00383C5E">
        <w:trPr>
          <w:trHeight w:val="300"/>
          <w:trPrChange w:id="14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15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1193BE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Public Health Principles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16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75DA99A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FDA36</w:t>
            </w:r>
          </w:p>
        </w:tc>
      </w:tr>
      <w:tr w:rsidR="007562EA" w:rsidRPr="007562EA" w14:paraId="7D6A680C" w14:textId="77777777" w:rsidTr="00383C5E">
        <w:trPr>
          <w:trHeight w:val="300"/>
          <w:trPrChange w:id="17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18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3D6E21F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1: Overview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19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AD88EA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MIC01</w:t>
            </w:r>
          </w:p>
        </w:tc>
      </w:tr>
      <w:tr w:rsidR="007562EA" w:rsidRPr="007562EA" w14:paraId="7434EB2A" w14:textId="77777777" w:rsidTr="00383C5E">
        <w:trPr>
          <w:trHeight w:val="300"/>
          <w:trPrChange w:id="20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21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269BE7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2A: Gram-Negative Rods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22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237DD6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MIC02</w:t>
            </w:r>
          </w:p>
        </w:tc>
      </w:tr>
      <w:tr w:rsidR="007562EA" w:rsidRPr="007562EA" w14:paraId="5F2002B8" w14:textId="77777777" w:rsidTr="00383C5E">
        <w:trPr>
          <w:trHeight w:val="300"/>
          <w:trPrChange w:id="23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24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D2EA00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2B: Gram-Positive Rods &amp; Cocci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25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0BEB48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MIC03</w:t>
            </w:r>
          </w:p>
        </w:tc>
      </w:tr>
      <w:tr w:rsidR="007562EA" w:rsidRPr="007562EA" w14:paraId="55F8EC08" w14:textId="77777777" w:rsidTr="00383C5E">
        <w:trPr>
          <w:trHeight w:val="300"/>
          <w:trPrChange w:id="26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27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1533DE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3: Foodborne Viruses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28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73C27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MIC04</w:t>
            </w:r>
          </w:p>
        </w:tc>
      </w:tr>
      <w:tr w:rsidR="007562EA" w:rsidRPr="007562EA" w14:paraId="1B99488D" w14:textId="77777777" w:rsidTr="00383C5E">
        <w:trPr>
          <w:trHeight w:val="300"/>
          <w:trPrChange w:id="29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30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983D8B4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4: Foodborne Parasites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31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1D5D8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MIC05</w:t>
            </w:r>
          </w:p>
        </w:tc>
      </w:tr>
      <w:tr w:rsidR="007562EA" w:rsidRPr="007562EA" w14:paraId="61B0BCE6" w14:textId="77777777" w:rsidTr="00383C5E">
        <w:trPr>
          <w:trHeight w:val="300"/>
          <w:trPrChange w:id="32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33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811A85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5: Controlling Growth Factors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34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E33D3B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MIC06</w:t>
            </w:r>
          </w:p>
        </w:tc>
      </w:tr>
      <w:tr w:rsidR="007562EA" w:rsidRPr="007562EA" w14:paraId="0BFF5F7D" w14:textId="77777777" w:rsidTr="00383C5E">
        <w:trPr>
          <w:trHeight w:val="300"/>
          <w:trPrChange w:id="35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36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4BB3C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6: Control by Refrigeration &amp; Freezing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37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73D76B1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MIC07</w:t>
            </w:r>
          </w:p>
        </w:tc>
      </w:tr>
      <w:tr w:rsidR="007562EA" w:rsidRPr="007562EA" w14:paraId="1E08FC89" w14:textId="77777777" w:rsidTr="00383C5E">
        <w:trPr>
          <w:trHeight w:val="300"/>
          <w:trPrChange w:id="38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39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FEE33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7A: Control by Thermal Processing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40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35EFC7B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MIC08</w:t>
            </w:r>
          </w:p>
        </w:tc>
      </w:tr>
      <w:tr w:rsidR="007562EA" w:rsidRPr="007562EA" w14:paraId="1449C863" w14:textId="77777777" w:rsidTr="00383C5E">
        <w:trPr>
          <w:trHeight w:val="300"/>
          <w:trPrChange w:id="41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42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CCE55D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7B: Control by Pasteurization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43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4881992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MIC09</w:t>
            </w:r>
          </w:p>
        </w:tc>
      </w:tr>
      <w:tr w:rsidR="007562EA" w:rsidRPr="007562EA" w14:paraId="7EA9BECA" w14:textId="77777777" w:rsidTr="00383C5E">
        <w:trPr>
          <w:trHeight w:val="300"/>
          <w:trPrChange w:id="44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45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D994957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7C: Control by Retorting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46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C9F8478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MIC10</w:t>
            </w:r>
          </w:p>
        </w:tc>
      </w:tr>
      <w:tr w:rsidR="007562EA" w:rsidRPr="007562EA" w14:paraId="5B0565F9" w14:textId="77777777" w:rsidTr="00383C5E">
        <w:trPr>
          <w:trHeight w:val="300"/>
          <w:trPrChange w:id="47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48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1094B5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8: Technology Based Food Processes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49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C9CEB8D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MIC11</w:t>
            </w:r>
          </w:p>
        </w:tc>
      </w:tr>
      <w:tr w:rsidR="007562EA" w:rsidRPr="007562EA" w14:paraId="2FC72216" w14:textId="77777777" w:rsidTr="00383C5E">
        <w:trPr>
          <w:trHeight w:val="300"/>
          <w:trPrChange w:id="50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51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925F511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9: Natural Toxins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52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03797CB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MIC12</w:t>
            </w:r>
          </w:p>
        </w:tc>
      </w:tr>
      <w:tr w:rsidR="007562EA" w:rsidRPr="007562EA" w14:paraId="7C1E5295" w14:textId="77777777" w:rsidTr="00383C5E">
        <w:trPr>
          <w:trHeight w:val="300"/>
          <w:trPrChange w:id="53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54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736995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10: Aseptic Sampling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55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7A62676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MIC13</w:t>
            </w:r>
          </w:p>
        </w:tc>
      </w:tr>
      <w:tr w:rsidR="007562EA" w:rsidRPr="007562EA" w14:paraId="344EF9DB" w14:textId="77777777" w:rsidTr="00383C5E">
        <w:trPr>
          <w:trHeight w:val="300"/>
          <w:trPrChange w:id="56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57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53168A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 12: Cleaning &amp; Sanitizing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58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948214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MIC15</w:t>
            </w:r>
          </w:p>
        </w:tc>
      </w:tr>
      <w:tr w:rsidR="007562EA" w:rsidRPr="007562EA" w14:paraId="4E711ECB" w14:textId="77777777" w:rsidTr="00383C5E">
        <w:trPr>
          <w:trHeight w:val="300"/>
          <w:trPrChange w:id="59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60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D41010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Micro Control: Mid-Series Exam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61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67916EB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MIC16</w:t>
            </w:r>
          </w:p>
        </w:tc>
      </w:tr>
      <w:tr w:rsidR="007562EA" w:rsidRPr="007562EA" w14:paraId="71C7E1D4" w14:textId="77777777" w:rsidTr="00383C5E">
        <w:trPr>
          <w:trHeight w:val="300"/>
          <w:trPrChange w:id="62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63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B7416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1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64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546587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FDAFC02</w:t>
            </w:r>
          </w:p>
        </w:tc>
      </w:tr>
      <w:tr w:rsidR="007562EA" w:rsidRPr="007562EA" w14:paraId="21266485" w14:textId="77777777" w:rsidTr="00383C5E">
        <w:trPr>
          <w:trHeight w:val="300"/>
          <w:trPrChange w:id="65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66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2F708A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2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67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FD0E9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FDAFC07</w:t>
            </w:r>
          </w:p>
        </w:tc>
      </w:tr>
      <w:tr w:rsidR="007562EA" w:rsidRPr="007562EA" w14:paraId="5B63CC4C" w14:textId="77777777" w:rsidTr="00383C5E">
        <w:trPr>
          <w:trHeight w:val="300"/>
          <w:trPrChange w:id="68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69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8EB00BB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3, Pt. 1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70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87EB89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FDAFC03</w:t>
            </w:r>
          </w:p>
        </w:tc>
      </w:tr>
      <w:tr w:rsidR="007562EA" w:rsidRPr="007562EA" w14:paraId="20AEBE48" w14:textId="77777777" w:rsidTr="00383C5E">
        <w:trPr>
          <w:trHeight w:val="300"/>
          <w:trPrChange w:id="71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72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EA15E2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3, Pt. 2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73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A67A4E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FDAFC05</w:t>
            </w:r>
          </w:p>
        </w:tc>
      </w:tr>
      <w:tr w:rsidR="007562EA" w:rsidRPr="007562EA" w14:paraId="06C0AFBB" w14:textId="77777777" w:rsidTr="00383C5E">
        <w:trPr>
          <w:trHeight w:val="300"/>
          <w:trPrChange w:id="74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75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C68F9E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3, Pt. 3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76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809AD4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FDAFC06</w:t>
            </w:r>
          </w:p>
        </w:tc>
      </w:tr>
      <w:tr w:rsidR="007562EA" w:rsidRPr="007562EA" w14:paraId="606D3B6A" w14:textId="77777777" w:rsidTr="00383C5E">
        <w:trPr>
          <w:trHeight w:val="300"/>
          <w:trPrChange w:id="77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78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223DF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4, Pt. 1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79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AF62C7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FDAFC08</w:t>
            </w:r>
          </w:p>
        </w:tc>
      </w:tr>
      <w:tr w:rsidR="007562EA" w:rsidRPr="007562EA" w14:paraId="257F5D45" w14:textId="77777777" w:rsidTr="00383C5E">
        <w:trPr>
          <w:trHeight w:val="300"/>
          <w:trPrChange w:id="80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81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8D4A84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4, Pt. 2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82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709135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FDAFC10</w:t>
            </w:r>
          </w:p>
        </w:tc>
      </w:tr>
      <w:tr w:rsidR="007562EA" w:rsidRPr="007562EA" w14:paraId="268D2B7B" w14:textId="77777777" w:rsidTr="00383C5E">
        <w:trPr>
          <w:trHeight w:val="300"/>
          <w:trPrChange w:id="83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84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29F0B1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5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85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E037AD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FDAFC04</w:t>
            </w:r>
          </w:p>
        </w:tc>
      </w:tr>
      <w:tr w:rsidR="007562EA" w:rsidRPr="007562EA" w14:paraId="4C4C8B4B" w14:textId="77777777" w:rsidTr="00383C5E">
        <w:trPr>
          <w:trHeight w:val="300"/>
          <w:trPrChange w:id="86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87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0C9D432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6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88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DE32B8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FDAFC09</w:t>
            </w:r>
          </w:p>
        </w:tc>
      </w:tr>
      <w:tr w:rsidR="007562EA" w:rsidRPr="007562EA" w14:paraId="1A524633" w14:textId="77777777" w:rsidTr="00383C5E">
        <w:trPr>
          <w:trHeight w:val="300"/>
          <w:trPrChange w:id="89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90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889CE8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7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91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6F82FE6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FDAFC01</w:t>
            </w:r>
          </w:p>
        </w:tc>
      </w:tr>
      <w:tr w:rsidR="007562EA" w:rsidRPr="007562EA" w14:paraId="0254D7DD" w14:textId="77777777" w:rsidTr="00383C5E">
        <w:trPr>
          <w:trHeight w:val="300"/>
          <w:trPrChange w:id="92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hideMark/>
            <w:tcPrChange w:id="93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5BDC7B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Food Code Ch. 8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  <w:tcPrChange w:id="94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263F3D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2EA">
              <w:rPr>
                <w:rFonts w:ascii="Calibri" w:eastAsia="Times New Roman" w:hAnsi="Calibri" w:cs="Calibri"/>
                <w:color w:val="000000"/>
              </w:rPr>
              <w:t>FDAFC11</w:t>
            </w:r>
          </w:p>
        </w:tc>
      </w:tr>
      <w:tr w:rsidR="00A75395" w:rsidRPr="007562EA" w14:paraId="123F7EDC" w14:textId="77777777" w:rsidTr="00383C5E">
        <w:trPr>
          <w:trHeight w:val="300"/>
          <w:trPrChange w:id="95" w:author="Doug A. Potter" w:date="2020-11-19T13:46:00Z">
            <w:trPr>
              <w:trHeight w:val="300"/>
            </w:trPr>
          </w:trPrChange>
        </w:trPr>
        <w:tc>
          <w:tcPr>
            <w:tcW w:w="7645" w:type="dxa"/>
            <w:shd w:val="clear" w:color="auto" w:fill="auto"/>
            <w:noWrap/>
            <w:vAlign w:val="bottom"/>
            <w:tcPrChange w:id="96" w:author="Doug A. Potter" w:date="2020-11-19T13:46:00Z">
              <w:tcPr>
                <w:tcW w:w="7645" w:type="dxa"/>
                <w:shd w:val="clear" w:color="auto" w:fill="auto"/>
                <w:noWrap/>
                <w:vAlign w:val="bottom"/>
              </w:tcPr>
            </w:tcPrChange>
          </w:tcPr>
          <w:p w14:paraId="0BE9DE74" w14:textId="77777777" w:rsidR="00A75395" w:rsidRPr="007562EA" w:rsidRDefault="00A75395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 Listening Skills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tcPrChange w:id="97" w:author="Doug A. Potter" w:date="2020-11-19T13:46:00Z">
              <w:tcPr>
                <w:tcW w:w="1170" w:type="dxa"/>
                <w:shd w:val="clear" w:color="auto" w:fill="auto"/>
                <w:noWrap/>
                <w:vAlign w:val="bottom"/>
              </w:tcPr>
            </w:tcPrChange>
          </w:tcPr>
          <w:p w14:paraId="2607BF38" w14:textId="77777777" w:rsidR="00A75395" w:rsidRPr="007562EA" w:rsidRDefault="00A75395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EHS02</w:t>
            </w:r>
          </w:p>
        </w:tc>
      </w:tr>
    </w:tbl>
    <w:p w14:paraId="28F27901" w14:textId="77777777" w:rsidR="007562EA" w:rsidRDefault="00F672A2" w:rsidP="00DB17A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*MDARD Food Code &amp; Food Law Course is to be taken as available</w:t>
      </w:r>
    </w:p>
    <w:p w14:paraId="7918EA99" w14:textId="77777777" w:rsidR="00B73CC5" w:rsidRDefault="00B73CC5" w:rsidP="00DB17AD">
      <w:pPr>
        <w:spacing w:after="0" w:line="360" w:lineRule="auto"/>
        <w:rPr>
          <w:sz w:val="24"/>
          <w:szCs w:val="24"/>
        </w:rPr>
      </w:pPr>
    </w:p>
    <w:p w14:paraId="4BECDFDD" w14:textId="77777777" w:rsidR="007562EA" w:rsidRDefault="007562EA" w:rsidP="00DB17AD">
      <w:pPr>
        <w:spacing w:after="0" w:line="360" w:lineRule="auto"/>
        <w:jc w:val="center"/>
        <w:rPr>
          <w:sz w:val="24"/>
          <w:szCs w:val="24"/>
        </w:rPr>
      </w:pPr>
    </w:p>
    <w:p w14:paraId="5954EF49" w14:textId="77777777" w:rsidR="00BE61D5" w:rsidRDefault="00BE61D5" w:rsidP="00DB17AD">
      <w:pPr>
        <w:spacing w:after="0" w:line="360" w:lineRule="auto"/>
        <w:jc w:val="center"/>
        <w:rPr>
          <w:sz w:val="24"/>
          <w:szCs w:val="24"/>
        </w:rPr>
      </w:pPr>
    </w:p>
    <w:p w14:paraId="2A6CA0BB" w14:textId="77777777" w:rsidR="00BE61D5" w:rsidRDefault="00BE61D5" w:rsidP="00DB17AD">
      <w:pPr>
        <w:spacing w:after="0" w:line="360" w:lineRule="auto"/>
        <w:jc w:val="center"/>
        <w:rPr>
          <w:sz w:val="24"/>
          <w:szCs w:val="24"/>
        </w:rPr>
      </w:pPr>
    </w:p>
    <w:p w14:paraId="245EFE47" w14:textId="77777777" w:rsidR="007562EA" w:rsidRPr="00F672A2" w:rsidRDefault="007562EA" w:rsidP="00DB17AD">
      <w:pPr>
        <w:spacing w:after="0" w:line="360" w:lineRule="auto"/>
        <w:jc w:val="center"/>
        <w:rPr>
          <w:b/>
          <w:sz w:val="28"/>
          <w:szCs w:val="28"/>
        </w:rPr>
      </w:pPr>
      <w:r w:rsidRPr="00F672A2">
        <w:rPr>
          <w:b/>
          <w:sz w:val="28"/>
          <w:szCs w:val="28"/>
        </w:rPr>
        <w:lastRenderedPageBreak/>
        <w:t>Training</w:t>
      </w:r>
      <w:r w:rsidR="00F672A2">
        <w:rPr>
          <w:b/>
          <w:sz w:val="28"/>
          <w:szCs w:val="28"/>
        </w:rPr>
        <w:t xml:space="preserve"> Courses D</w:t>
      </w:r>
      <w:r w:rsidRPr="00F672A2">
        <w:rPr>
          <w:b/>
          <w:sz w:val="28"/>
          <w:szCs w:val="28"/>
        </w:rPr>
        <w:t>uring the Second 25 Inspections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1170"/>
      </w:tblGrid>
      <w:tr w:rsidR="007562EA" w:rsidRPr="007562EA" w14:paraId="1A16A67D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6B4DA330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Foodborne Illness Investigations 1: Collecting Surveillance Data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7A4786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FI01</w:t>
            </w:r>
          </w:p>
        </w:tc>
      </w:tr>
      <w:tr w:rsidR="007562EA" w:rsidRPr="007562EA" w14:paraId="78762FC4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71FDD5D6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Foodborne Illness Investigations 2: Beginning the Investigation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201571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FI02</w:t>
            </w:r>
          </w:p>
        </w:tc>
      </w:tr>
      <w:tr w:rsidR="007562EA" w:rsidRPr="007562EA" w14:paraId="719B9EF1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6913776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Foodborne Illness Investigations 3: Expanding the Investigation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AD968F1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FI03</w:t>
            </w:r>
          </w:p>
        </w:tc>
      </w:tr>
      <w:tr w:rsidR="007562EA" w:rsidRPr="007562EA" w14:paraId="171950B4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7A2D88FF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Foodborne Illness Investigations 4: Conducting a Food Hazard Review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ED8BCF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FI04</w:t>
            </w:r>
          </w:p>
        </w:tc>
      </w:tr>
      <w:tr w:rsidR="007562EA" w:rsidRPr="007562EA" w14:paraId="4A521DB4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4139CE5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Foodborne Illness Investigations 5: Epidemiological Statistics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1AD2430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FI05</w:t>
            </w:r>
          </w:p>
        </w:tc>
      </w:tr>
      <w:tr w:rsidR="007562EA" w:rsidRPr="007562EA" w14:paraId="4879BBBB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4B4A5B2E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Foodborne Illness Investigations 6: Final Report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E98D6EA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FI06</w:t>
            </w:r>
          </w:p>
        </w:tc>
      </w:tr>
      <w:tr w:rsidR="007562EA" w:rsidRPr="007562EA" w14:paraId="50B76CD4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0123BDFE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Basics of HACCP: Overview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33C7092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FDA16</w:t>
            </w:r>
          </w:p>
        </w:tc>
      </w:tr>
      <w:tr w:rsidR="007562EA" w:rsidRPr="007562EA" w14:paraId="168A888A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27D6D38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Basics of HACCP: Prerequisite Programs &amp; Preliminary Steps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77D21E7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FDA17</w:t>
            </w:r>
          </w:p>
        </w:tc>
      </w:tr>
      <w:tr w:rsidR="007562EA" w:rsidRPr="007562EA" w14:paraId="1AF832D0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5BA4E614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Basics of HACCP: The Principles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01B863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FDA18</w:t>
            </w:r>
          </w:p>
        </w:tc>
      </w:tr>
      <w:tr w:rsidR="007562EA" w:rsidRPr="007562EA" w14:paraId="54CC7ADF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3EC218B3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 Safety Awareness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73A5B47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FD251A</w:t>
            </w:r>
          </w:p>
        </w:tc>
      </w:tr>
      <w:tr w:rsidR="007562EA" w:rsidRPr="007562EA" w14:paraId="3FEA4AB5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  <w:hideMark/>
          </w:tcPr>
          <w:p w14:paraId="4392B32C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 Safety Awareness Exam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F089FB" w14:textId="77777777" w:rsidR="007562EA" w:rsidRPr="007562EA" w:rsidRDefault="007562EA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2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FD251</w:t>
            </w:r>
          </w:p>
        </w:tc>
      </w:tr>
      <w:tr w:rsidR="00A75395" w:rsidRPr="007562EA" w14:paraId="4A4AE95A" w14:textId="77777777" w:rsidTr="00DB17AD">
        <w:trPr>
          <w:trHeight w:val="300"/>
        </w:trPr>
        <w:tc>
          <w:tcPr>
            <w:tcW w:w="7825" w:type="dxa"/>
            <w:shd w:val="clear" w:color="auto" w:fill="auto"/>
            <w:noWrap/>
            <w:vAlign w:val="bottom"/>
          </w:tcPr>
          <w:p w14:paraId="1A40EA95" w14:textId="77777777" w:rsidR="00A75395" w:rsidRPr="007562EA" w:rsidRDefault="00A75395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Control of Allergens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7740E06" w14:textId="77777777" w:rsidR="00A75395" w:rsidRPr="007562EA" w:rsidRDefault="00A75395" w:rsidP="00BE6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FOOD2</w:t>
            </w:r>
          </w:p>
        </w:tc>
      </w:tr>
    </w:tbl>
    <w:p w14:paraId="36E6EE20" w14:textId="77777777" w:rsidR="007562EA" w:rsidRDefault="007562EA" w:rsidP="00DB17AD">
      <w:pPr>
        <w:spacing w:after="0" w:line="360" w:lineRule="auto"/>
        <w:rPr>
          <w:sz w:val="24"/>
          <w:szCs w:val="24"/>
        </w:rPr>
      </w:pPr>
    </w:p>
    <w:p w14:paraId="5449FF97" w14:textId="77777777" w:rsidR="007562EA" w:rsidRPr="007562EA" w:rsidRDefault="007562EA" w:rsidP="00DB17AD">
      <w:pPr>
        <w:spacing w:after="0" w:line="360" w:lineRule="auto"/>
        <w:jc w:val="center"/>
        <w:rPr>
          <w:b/>
          <w:sz w:val="28"/>
          <w:szCs w:val="28"/>
        </w:rPr>
      </w:pPr>
      <w:r w:rsidRPr="007562EA">
        <w:rPr>
          <w:b/>
          <w:sz w:val="28"/>
          <w:szCs w:val="28"/>
        </w:rPr>
        <w:t xml:space="preserve">Additional Training </w:t>
      </w:r>
      <w:commentRangeStart w:id="98"/>
      <w:r w:rsidRPr="007562EA">
        <w:rPr>
          <w:b/>
          <w:sz w:val="28"/>
          <w:szCs w:val="28"/>
        </w:rPr>
        <w:t>Opportunities</w:t>
      </w:r>
      <w:commentRangeEnd w:id="98"/>
      <w:r w:rsidR="007470CD">
        <w:rPr>
          <w:rStyle w:val="CommentReference"/>
        </w:rPr>
        <w:commentReference w:id="98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5"/>
        <w:gridCol w:w="1170"/>
      </w:tblGrid>
      <w:tr w:rsidR="007562EA" w:rsidRPr="007562EA" w14:paraId="4D45317F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35DF2603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Food Micro Control 11: Good Manufacturing Practices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CC218FB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MIC14</w:t>
            </w:r>
          </w:p>
        </w:tc>
      </w:tr>
      <w:tr w:rsidR="007562EA" w:rsidRPr="007562EA" w14:paraId="5C0C2D8F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7288A695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Food &amp; Drug Law: FDA Jurisdictions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F6B8CF9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FDA01</w:t>
            </w:r>
          </w:p>
        </w:tc>
      </w:tr>
      <w:tr w:rsidR="007562EA" w:rsidRPr="007562EA" w14:paraId="76734F39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5A3C9F97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Food &amp; Drug Law: Prohibited Acts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C3391F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FDA02</w:t>
            </w:r>
          </w:p>
        </w:tc>
      </w:tr>
      <w:tr w:rsidR="007562EA" w:rsidRPr="007562EA" w14:paraId="7A78F982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40B32C4D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Food &amp; Drug Law: Judicial Actions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B763B5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FDA03</w:t>
            </w:r>
          </w:p>
        </w:tc>
      </w:tr>
      <w:tr w:rsidR="007562EA" w:rsidRPr="007562EA" w14:paraId="2C44D692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0E08D981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Food &amp; Drug Law: Criminal Acts Violations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48CE549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FDA04</w:t>
            </w:r>
          </w:p>
        </w:tc>
      </w:tr>
      <w:tr w:rsidR="007562EA" w:rsidRPr="007562EA" w14:paraId="415C30D7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67E86997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Food &amp; Drug Law: Imports &amp; Exports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27BBCB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FDA05</w:t>
            </w:r>
          </w:p>
        </w:tc>
      </w:tr>
      <w:tr w:rsidR="007562EA" w:rsidRPr="007562EA" w14:paraId="60C9C864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08CA76A2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Evidence &amp; Proof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35E61D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FDA22</w:t>
            </w:r>
          </w:p>
        </w:tc>
      </w:tr>
      <w:tr w:rsidR="007562EA" w:rsidRPr="007562EA" w14:paraId="486E832C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381986B6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Recalls of FDA Regulated Products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651BA8D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FDA24</w:t>
            </w:r>
          </w:p>
        </w:tc>
      </w:tr>
      <w:tr w:rsidR="007562EA" w:rsidRPr="007562EA" w14:paraId="6F612225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52AB018E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Food Labeling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56784DF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FDA45</w:t>
            </w:r>
          </w:p>
        </w:tc>
      </w:tr>
      <w:tr w:rsidR="007562EA" w:rsidRPr="007562EA" w14:paraId="23DB9A5E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7C67DC0D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Intro to Food Packaging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771CD3E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FD800W</w:t>
            </w:r>
          </w:p>
        </w:tc>
      </w:tr>
      <w:tr w:rsidR="007562EA" w:rsidRPr="007562EA" w14:paraId="28226E4F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3ABDCFA1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Traceback Investigations 1: An Introduction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ED33845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TI01</w:t>
            </w:r>
          </w:p>
        </w:tc>
      </w:tr>
      <w:tr w:rsidR="007562EA" w:rsidRPr="007562EA" w14:paraId="3E33F026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4BEE8BDD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Traceback Investigations 2: Point-of-Service Investigations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9787BD9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TI02</w:t>
            </w:r>
          </w:p>
        </w:tc>
      </w:tr>
      <w:tr w:rsidR="007562EA" w:rsidRPr="007562EA" w14:paraId="79307011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6990C41C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Traceback Investigations 3: Distributor Investigations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1C04BFF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TI03</w:t>
            </w:r>
          </w:p>
        </w:tc>
      </w:tr>
      <w:tr w:rsidR="007562EA" w:rsidRPr="007562EA" w14:paraId="230014D7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524834E2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Traceback Investigations 4: Tracebacks of Eggs and Other Commodities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721B3EB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TI04</w:t>
            </w:r>
          </w:p>
        </w:tc>
      </w:tr>
      <w:tr w:rsidR="007562EA" w:rsidRPr="007562EA" w14:paraId="002FCB89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552C471C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Traceback Investigations 5: Concluding the Investigation and Reporting the Results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EB0D032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TI05</w:t>
            </w:r>
          </w:p>
        </w:tc>
      </w:tr>
      <w:tr w:rsidR="007562EA" w:rsidRPr="007562EA" w14:paraId="23E98CF5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449FF12E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Introduction to Incident Command System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6F44435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IS-100.c</w:t>
            </w:r>
          </w:p>
        </w:tc>
      </w:tr>
      <w:tr w:rsidR="007562EA" w:rsidRPr="007562EA" w14:paraId="37F56C95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51D15577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ICS for Single Resources and Initial Action Incidents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C8947D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IS-200</w:t>
            </w:r>
          </w:p>
        </w:tc>
      </w:tr>
      <w:tr w:rsidR="007562EA" w:rsidRPr="007562EA" w14:paraId="7E5ACE29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5D535C8E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Introduction to National Incident Management System (NIMS)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1297EA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IS-700.b</w:t>
            </w:r>
          </w:p>
        </w:tc>
      </w:tr>
      <w:tr w:rsidR="007562EA" w:rsidRPr="007562EA" w14:paraId="6479474A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7CA3F925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National Response Framework, An Introduction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9A0331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IS-800.c</w:t>
            </w:r>
          </w:p>
        </w:tc>
      </w:tr>
      <w:tr w:rsidR="007562EA" w:rsidRPr="007562EA" w14:paraId="611A2327" w14:textId="77777777" w:rsidTr="00DB17AD">
        <w:trPr>
          <w:trHeight w:val="300"/>
        </w:trPr>
        <w:tc>
          <w:tcPr>
            <w:tcW w:w="8365" w:type="dxa"/>
            <w:shd w:val="clear" w:color="auto" w:fill="auto"/>
            <w:noWrap/>
            <w:vAlign w:val="bottom"/>
            <w:hideMark/>
          </w:tcPr>
          <w:p w14:paraId="1BB0CF95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Application of Inspection and Investigation Techniques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918379B" w14:textId="77777777" w:rsidR="007562EA" w:rsidRPr="007562EA" w:rsidRDefault="007562EA" w:rsidP="00BE61D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562EA">
              <w:rPr>
                <w:rFonts w:eastAsia="Times New Roman" w:cstheme="minorHAnsi"/>
                <w:color w:val="000000"/>
                <w:sz w:val="24"/>
                <w:szCs w:val="24"/>
              </w:rPr>
              <w:t>FD170</w:t>
            </w:r>
          </w:p>
        </w:tc>
      </w:tr>
    </w:tbl>
    <w:p w14:paraId="42C373F2" w14:textId="77777777" w:rsidR="007562EA" w:rsidRPr="007562EA" w:rsidRDefault="007562EA" w:rsidP="00DB17AD">
      <w:pPr>
        <w:spacing w:after="0" w:line="360" w:lineRule="auto"/>
        <w:rPr>
          <w:rFonts w:cstheme="minorHAnsi"/>
          <w:sz w:val="24"/>
          <w:szCs w:val="24"/>
        </w:rPr>
      </w:pPr>
    </w:p>
    <w:sectPr w:rsidR="007562EA" w:rsidRPr="0075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8" w:author="Terrell, Claudia K" w:date="2020-10-13T10:18:00Z" w:initials="TC">
    <w:p w14:paraId="5F43F084" w14:textId="77777777" w:rsidR="007470CD" w:rsidRDefault="007470CD">
      <w:pPr>
        <w:pStyle w:val="CommentText"/>
      </w:pPr>
      <w:r>
        <w:rPr>
          <w:rStyle w:val="CommentReference"/>
        </w:rPr>
        <w:annotationRef/>
      </w:r>
      <w:r>
        <w:t>Could continue to add additional courses from other providers.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3F0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3F084" w16cid:durableId="23FF0A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625FF"/>
    <w:multiLevelType w:val="hybridMultilevel"/>
    <w:tmpl w:val="2252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oug A. Potter">
    <w15:presenceInfo w15:providerId="AD" w15:userId="S-1-5-21-525667754-1804094943-605576153-15171"/>
  </w15:person>
  <w15:person w15:author="Terrell, Claudia K">
    <w15:presenceInfo w15:providerId="AD" w15:userId="S-1-5-21-1848976135-210569208-2076119496-77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01"/>
    <w:rsid w:val="000C654F"/>
    <w:rsid w:val="00132659"/>
    <w:rsid w:val="001A0855"/>
    <w:rsid w:val="001A180E"/>
    <w:rsid w:val="002C3F01"/>
    <w:rsid w:val="002F646A"/>
    <w:rsid w:val="003249A0"/>
    <w:rsid w:val="00383C5E"/>
    <w:rsid w:val="00462450"/>
    <w:rsid w:val="004A0262"/>
    <w:rsid w:val="004D2453"/>
    <w:rsid w:val="00515928"/>
    <w:rsid w:val="00551E39"/>
    <w:rsid w:val="00586DD1"/>
    <w:rsid w:val="006B3CB4"/>
    <w:rsid w:val="006D2B62"/>
    <w:rsid w:val="007470CD"/>
    <w:rsid w:val="007562EA"/>
    <w:rsid w:val="00772204"/>
    <w:rsid w:val="00852C95"/>
    <w:rsid w:val="008925D2"/>
    <w:rsid w:val="009A40F7"/>
    <w:rsid w:val="009E0616"/>
    <w:rsid w:val="00A75395"/>
    <w:rsid w:val="00B0274B"/>
    <w:rsid w:val="00B73CC5"/>
    <w:rsid w:val="00BA0EE9"/>
    <w:rsid w:val="00BE61D5"/>
    <w:rsid w:val="00CA31A4"/>
    <w:rsid w:val="00D13EAA"/>
    <w:rsid w:val="00D9755F"/>
    <w:rsid w:val="00DB17AD"/>
    <w:rsid w:val="00DC4A01"/>
    <w:rsid w:val="00E05526"/>
    <w:rsid w:val="00E1203C"/>
    <w:rsid w:val="00EE1279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AB34"/>
  <w15:chartTrackingRefBased/>
  <w15:docId w15:val="{B1FF96F6-E728-4012-99B5-543CC1A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EE9"/>
    <w:pPr>
      <w:ind w:left="720"/>
      <w:contextualSpacing/>
    </w:pPr>
  </w:style>
  <w:style w:type="table" w:styleId="TableGrid">
    <w:name w:val="Table Grid"/>
    <w:basedOn w:val="TableNormal"/>
    <w:uiPriority w:val="39"/>
    <w:rsid w:val="0075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5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3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3B87-98DC-48EA-A2C8-BE6C72AF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A. Potter</dc:creator>
  <cp:keywords/>
  <dc:description/>
  <cp:lastModifiedBy>Jodie</cp:lastModifiedBy>
  <cp:revision>2</cp:revision>
  <cp:lastPrinted>2020-10-06T14:39:00Z</cp:lastPrinted>
  <dcterms:created xsi:type="dcterms:W3CDTF">2021-04-15T14:45:00Z</dcterms:created>
  <dcterms:modified xsi:type="dcterms:W3CDTF">2021-04-15T14:45:00Z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