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A23A" w14:textId="6C928190" w:rsidR="00E56623" w:rsidRDefault="005D27D0" w:rsidP="00BE1E1D">
      <w:pPr>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7216" behindDoc="0" locked="0" layoutInCell="1" allowOverlap="1" wp14:anchorId="262B6C2F" wp14:editId="03329D15">
                <wp:simplePos x="0" y="0"/>
                <wp:positionH relativeFrom="margin">
                  <wp:posOffset>-6480</wp:posOffset>
                </wp:positionH>
                <wp:positionV relativeFrom="paragraph">
                  <wp:posOffset>-337950</wp:posOffset>
                </wp:positionV>
                <wp:extent cx="4557600" cy="1137285"/>
                <wp:effectExtent l="0" t="0" r="14605" b="247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7600" cy="1137285"/>
                        </a:xfrm>
                        <a:prstGeom prst="flowChartAlternateProcess">
                          <a:avLst/>
                        </a:prstGeom>
                        <a:gradFill flip="none" rotWithShape="1">
                          <a:gsLst>
                            <a:gs pos="0">
                              <a:srgbClr val="406F93">
                                <a:tint val="66000"/>
                                <a:satMod val="160000"/>
                              </a:srgbClr>
                            </a:gs>
                            <a:gs pos="50000">
                              <a:srgbClr val="406F93">
                                <a:tint val="44500"/>
                                <a:satMod val="160000"/>
                              </a:srgbClr>
                            </a:gs>
                            <a:gs pos="100000">
                              <a:srgbClr val="406F93">
                                <a:tint val="23500"/>
                                <a:satMod val="160000"/>
                              </a:srgbClr>
                            </a:gs>
                          </a:gsLst>
                          <a:lin ang="0" scaled="1"/>
                          <a:tileRect/>
                        </a:gradFill>
                        <a:ln w="12700">
                          <a:solidFill>
                            <a:srgbClr val="406F93"/>
                          </a:solidFill>
                          <a:miter lim="800000"/>
                          <a:headEnd/>
                          <a:tailEnd/>
                        </a:ln>
                        <a:effectLst/>
                      </wps:spPr>
                      <wps:txbx>
                        <w:txbxContent>
                          <w:p w14:paraId="1FEAC7D3" w14:textId="0B899D47" w:rsidR="00E53269" w:rsidRPr="005D27D0" w:rsidRDefault="00E53269" w:rsidP="005D27D0">
                            <w:pPr>
                              <w:jc w:val="center"/>
                              <w:rPr>
                                <w:rFonts w:ascii="Montserrat SemiBold" w:hAnsi="Montserrat SemiBold" w:cs="Arial"/>
                                <w:b/>
                                <w:sz w:val="40"/>
                                <w:szCs w:val="40"/>
                              </w:rPr>
                            </w:pPr>
                            <w:r w:rsidRPr="005D27D0">
                              <w:rPr>
                                <w:rFonts w:ascii="Montserrat SemiBold" w:hAnsi="Montserrat SemiBold" w:cs="Arial"/>
                                <w:b/>
                                <w:sz w:val="40"/>
                                <w:szCs w:val="40"/>
                              </w:rPr>
                              <w:t>Essential Local Public Health Services</w:t>
                            </w:r>
                            <w:r w:rsidR="005D27D0">
                              <w:rPr>
                                <w:rFonts w:ascii="Montserrat SemiBold" w:hAnsi="Montserrat SemiBold" w:cs="Arial"/>
                                <w:b/>
                                <w:sz w:val="40"/>
                                <w:szCs w:val="40"/>
                              </w:rPr>
                              <w:t xml:space="preserve"> (ELPHS):</w:t>
                            </w:r>
                          </w:p>
                          <w:p w14:paraId="0D009F01" w14:textId="0A10FF9A" w:rsidR="00E53269" w:rsidRPr="005D27D0" w:rsidRDefault="00E53269" w:rsidP="005D27D0">
                            <w:pPr>
                              <w:jc w:val="center"/>
                              <w:rPr>
                                <w:rFonts w:ascii="Montserrat Medium" w:hAnsi="Montserrat Medium"/>
                                <w:bCs/>
                                <w:sz w:val="40"/>
                                <w:szCs w:val="40"/>
                              </w:rPr>
                            </w:pPr>
                            <w:r w:rsidRPr="005D27D0">
                              <w:rPr>
                                <w:rFonts w:ascii="Montserrat Medium" w:hAnsi="Montserrat Medium" w:cs="Arial"/>
                                <w:bCs/>
                                <w:sz w:val="40"/>
                                <w:szCs w:val="40"/>
                              </w:rPr>
                              <w:t>Cost</w:t>
                            </w:r>
                            <w:r w:rsidR="005D27D0" w:rsidRPr="005D27D0">
                              <w:rPr>
                                <w:rFonts w:ascii="Montserrat Medium" w:hAnsi="Montserrat Medium" w:cs="Arial"/>
                                <w:bCs/>
                                <w:sz w:val="40"/>
                                <w:szCs w:val="40"/>
                              </w:rPr>
                              <w:t>-</w:t>
                            </w:r>
                            <w:r w:rsidRPr="005D27D0">
                              <w:rPr>
                                <w:rFonts w:ascii="Montserrat Medium" w:hAnsi="Montserrat Medium" w:cs="Arial"/>
                                <w:bCs/>
                                <w:sz w:val="40"/>
                                <w:szCs w:val="40"/>
                              </w:rPr>
                              <w:t>Shared Services</w:t>
                            </w:r>
                          </w:p>
                          <w:p w14:paraId="6BE0A96D" w14:textId="77777777" w:rsidR="00E53269" w:rsidRPr="00E53269" w:rsidRDefault="00E53269" w:rsidP="00E53269">
                            <w:pPr>
                              <w:rPr>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B6C2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5pt;margin-top:-26.6pt;width:358.85pt;height:89.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" fillcolor="#9cb1c9" strokecolor="#406f93" strokeweight="1pt">
                <v:fill color2="#e2e7ee" rotate="t" angle="90" colors="0 #9cb1c9;.5 #c3cfdc;1 #e2e7ee" focus="100%" type="gradient"/>
                <v:textbox>
                  <w:txbxContent>
                    <w:p w14:paraId="1FEAC7D3" w14:textId="0B899D47" w:rsidR="00E53269" w:rsidRPr="005D27D0" w:rsidRDefault="00E53269" w:rsidP="005D27D0">
                      <w:pPr>
                        <w:jc w:val="center"/>
                        <w:rPr>
                          <w:rFonts w:ascii="Montserrat SemiBold" w:hAnsi="Montserrat SemiBold" w:cs="Arial"/>
                          <w:b/>
                          <w:sz w:val="40"/>
                          <w:szCs w:val="40"/>
                        </w:rPr>
                      </w:pPr>
                      <w:r w:rsidRPr="005D27D0">
                        <w:rPr>
                          <w:rFonts w:ascii="Montserrat SemiBold" w:hAnsi="Montserrat SemiBold" w:cs="Arial"/>
                          <w:b/>
                          <w:sz w:val="40"/>
                          <w:szCs w:val="40"/>
                        </w:rPr>
                        <w:t>Essential Local Public Health Services</w:t>
                      </w:r>
                      <w:r w:rsidR="005D27D0">
                        <w:rPr>
                          <w:rFonts w:ascii="Montserrat SemiBold" w:hAnsi="Montserrat SemiBold" w:cs="Arial"/>
                          <w:b/>
                          <w:sz w:val="40"/>
                          <w:szCs w:val="40"/>
                        </w:rPr>
                        <w:t xml:space="preserve"> (ELPHS):</w:t>
                      </w:r>
                    </w:p>
                    <w:p w14:paraId="0D009F01" w14:textId="0A10FF9A" w:rsidR="00E53269" w:rsidRPr="005D27D0" w:rsidRDefault="00E53269" w:rsidP="005D27D0">
                      <w:pPr>
                        <w:jc w:val="center"/>
                        <w:rPr>
                          <w:rFonts w:ascii="Montserrat Medium" w:hAnsi="Montserrat Medium"/>
                          <w:bCs/>
                          <w:sz w:val="40"/>
                          <w:szCs w:val="40"/>
                        </w:rPr>
                      </w:pPr>
                      <w:r w:rsidRPr="005D27D0">
                        <w:rPr>
                          <w:rFonts w:ascii="Montserrat Medium" w:hAnsi="Montserrat Medium" w:cs="Arial"/>
                          <w:bCs/>
                          <w:sz w:val="40"/>
                          <w:szCs w:val="40"/>
                        </w:rPr>
                        <w:t>Cost</w:t>
                      </w:r>
                      <w:r w:rsidR="005D27D0" w:rsidRPr="005D27D0">
                        <w:rPr>
                          <w:rFonts w:ascii="Montserrat Medium" w:hAnsi="Montserrat Medium" w:cs="Arial"/>
                          <w:bCs/>
                          <w:sz w:val="40"/>
                          <w:szCs w:val="40"/>
                        </w:rPr>
                        <w:t>-</w:t>
                      </w:r>
                      <w:r w:rsidRPr="005D27D0">
                        <w:rPr>
                          <w:rFonts w:ascii="Montserrat Medium" w:hAnsi="Montserrat Medium" w:cs="Arial"/>
                          <w:bCs/>
                          <w:sz w:val="40"/>
                          <w:szCs w:val="40"/>
                        </w:rPr>
                        <w:t>Shared Services</w:t>
                      </w:r>
                    </w:p>
                    <w:p w14:paraId="6BE0A96D" w14:textId="77777777" w:rsidR="00E53269" w:rsidRPr="00E53269" w:rsidRDefault="00E53269" w:rsidP="00E53269">
                      <w:pPr>
                        <w:rPr>
                          <w:szCs w:val="56"/>
                        </w:rPr>
                      </w:pPr>
                    </w:p>
                  </w:txbxContent>
                </v:textbox>
                <w10:wrap anchorx="margin"/>
              </v:shape>
            </w:pict>
          </mc:Fallback>
        </mc:AlternateContent>
      </w:r>
      <w:r>
        <w:rPr>
          <w:rFonts w:asciiTheme="majorHAnsi" w:hAnsiTheme="majorHAnsi"/>
          <w:b/>
          <w:noProof/>
          <w:szCs w:val="24"/>
        </w:rPr>
        <w:drawing>
          <wp:anchor distT="0" distB="0" distL="114300" distR="114300" simplePos="0" relativeHeight="251658240" behindDoc="1" locked="0" layoutInCell="1" allowOverlap="1" wp14:anchorId="7F5AE333" wp14:editId="5F0A2422">
            <wp:simplePos x="0" y="0"/>
            <wp:positionH relativeFrom="margin">
              <wp:align>right</wp:align>
            </wp:positionH>
            <wp:positionV relativeFrom="paragraph">
              <wp:posOffset>-258200</wp:posOffset>
            </wp:positionV>
            <wp:extent cx="1741407" cy="97920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1407" cy="979200"/>
                    </a:xfrm>
                    <a:prstGeom prst="rect">
                      <a:avLst/>
                    </a:prstGeom>
                  </pic:spPr>
                </pic:pic>
              </a:graphicData>
            </a:graphic>
            <wp14:sizeRelH relativeFrom="page">
              <wp14:pctWidth>0</wp14:pctWidth>
            </wp14:sizeRelH>
            <wp14:sizeRelV relativeFrom="page">
              <wp14:pctHeight>0</wp14:pctHeight>
            </wp14:sizeRelV>
          </wp:anchor>
        </w:drawing>
      </w:r>
    </w:p>
    <w:p w14:paraId="67E45D7D" w14:textId="55F98D2A" w:rsidR="00E53269" w:rsidRDefault="00E53269" w:rsidP="00374C4B">
      <w:pPr>
        <w:rPr>
          <w:rFonts w:ascii="Arial" w:hAnsi="Arial" w:cs="Arial"/>
          <w:b/>
          <w:color w:val="FF0000"/>
          <w:sz w:val="24"/>
          <w:szCs w:val="24"/>
        </w:rPr>
      </w:pPr>
    </w:p>
    <w:p w14:paraId="3EE37D1F" w14:textId="4E749F0B" w:rsidR="00E53269" w:rsidRDefault="00E53269" w:rsidP="00374C4B">
      <w:pPr>
        <w:rPr>
          <w:rFonts w:ascii="Arial" w:hAnsi="Arial" w:cs="Arial"/>
          <w:b/>
          <w:color w:val="FF0000"/>
          <w:sz w:val="24"/>
          <w:szCs w:val="24"/>
        </w:rPr>
      </w:pPr>
    </w:p>
    <w:p w14:paraId="3843D9A4" w14:textId="033430AC" w:rsidR="00E53269" w:rsidRDefault="00E53269" w:rsidP="00374C4B">
      <w:pPr>
        <w:rPr>
          <w:rFonts w:ascii="Arial" w:hAnsi="Arial" w:cs="Arial"/>
          <w:b/>
          <w:color w:val="FF0000"/>
          <w:sz w:val="24"/>
          <w:szCs w:val="24"/>
        </w:rPr>
      </w:pPr>
    </w:p>
    <w:p w14:paraId="1F60CC59" w14:textId="005A9167" w:rsidR="005D27D0" w:rsidRDefault="005D27D0" w:rsidP="00374C4B">
      <w:pPr>
        <w:rPr>
          <w:rFonts w:ascii="Arial" w:hAnsi="Arial" w:cs="Arial"/>
          <w:b/>
          <w:color w:val="C00000"/>
          <w:sz w:val="28"/>
          <w:szCs w:val="28"/>
        </w:rPr>
      </w:pPr>
    </w:p>
    <w:p w14:paraId="22B51848" w14:textId="7198B005" w:rsidR="005D27D0" w:rsidRDefault="005D27D0" w:rsidP="00374C4B">
      <w:pPr>
        <w:rPr>
          <w:rFonts w:ascii="Arial" w:hAnsi="Arial" w:cs="Arial"/>
          <w:b/>
          <w:color w:val="C00000"/>
          <w:sz w:val="28"/>
          <w:szCs w:val="28"/>
        </w:rPr>
      </w:pPr>
    </w:p>
    <w:p w14:paraId="05BA9CFA" w14:textId="3C21EE23" w:rsidR="00E53269" w:rsidRPr="005D27D0" w:rsidRDefault="00374C4B" w:rsidP="005D27D0">
      <w:pPr>
        <w:spacing w:after="240"/>
        <w:rPr>
          <w:rFonts w:ascii="Montserrat SemiBold" w:hAnsi="Montserrat SemiBold" w:cs="Arial"/>
          <w:b/>
          <w:color w:val="C00000"/>
          <w:sz w:val="28"/>
          <w:szCs w:val="28"/>
        </w:rPr>
      </w:pPr>
      <w:r w:rsidRPr="005D27D0">
        <w:rPr>
          <w:rFonts w:ascii="Montserrat SemiBold" w:hAnsi="Montserrat SemiBold" w:cs="Arial"/>
          <w:b/>
          <w:color w:val="C00000"/>
          <w:sz w:val="28"/>
          <w:szCs w:val="28"/>
        </w:rPr>
        <w:t>Michigan Public Health Code – Act 368 of 1978 ~ MCL 333.17015</w:t>
      </w:r>
    </w:p>
    <w:p w14:paraId="6324E3B5" w14:textId="77777777" w:rsidR="00374C4B" w:rsidRPr="00EB77A6" w:rsidRDefault="00374C4B" w:rsidP="001F5524">
      <w:pPr>
        <w:pStyle w:val="NoSpacing"/>
        <w:jc w:val="both"/>
        <w:rPr>
          <w:rFonts w:asciiTheme="majorHAnsi" w:hAnsiTheme="majorHAnsi"/>
          <w:b/>
          <w:szCs w:val="24"/>
        </w:rPr>
      </w:pPr>
      <w:r w:rsidRPr="00EB77A6">
        <w:rPr>
          <w:rFonts w:asciiTheme="majorHAnsi" w:hAnsiTheme="majorHAnsi"/>
          <w:b/>
          <w:szCs w:val="24"/>
        </w:rPr>
        <w:t>Sec</w:t>
      </w:r>
      <w:r w:rsidR="00EB77A6" w:rsidRPr="00EB77A6">
        <w:rPr>
          <w:rFonts w:asciiTheme="majorHAnsi" w:hAnsiTheme="majorHAnsi"/>
          <w:b/>
          <w:szCs w:val="24"/>
        </w:rPr>
        <w:t xml:space="preserve">. </w:t>
      </w:r>
      <w:r w:rsidRPr="00EB77A6">
        <w:rPr>
          <w:rFonts w:asciiTheme="majorHAnsi" w:hAnsiTheme="majorHAnsi"/>
          <w:b/>
          <w:szCs w:val="24"/>
        </w:rPr>
        <w:t>904: Allocations to local public health operations; contractual standards; distributions; report</w:t>
      </w:r>
      <w:r w:rsidR="00EB77A6" w:rsidRPr="00EB77A6">
        <w:rPr>
          <w:rFonts w:asciiTheme="majorHAnsi" w:hAnsiTheme="majorHAnsi"/>
          <w:b/>
          <w:szCs w:val="24"/>
        </w:rPr>
        <w:t>.</w:t>
      </w:r>
    </w:p>
    <w:p w14:paraId="19407C22" w14:textId="2BFD86EB" w:rsidR="00374C4B" w:rsidRPr="00EB77A6" w:rsidRDefault="00374C4B" w:rsidP="001F5524">
      <w:pPr>
        <w:pStyle w:val="NoSpacing"/>
        <w:jc w:val="both"/>
        <w:rPr>
          <w:rFonts w:asciiTheme="majorHAnsi" w:hAnsiTheme="majorHAnsi"/>
          <w:szCs w:val="24"/>
        </w:rPr>
      </w:pPr>
      <w:r w:rsidRPr="00EB77A6">
        <w:rPr>
          <w:rFonts w:asciiTheme="majorHAnsi" w:hAnsiTheme="majorHAnsi"/>
          <w:szCs w:val="24"/>
        </w:rPr>
        <w:t>(1) Funds appropriated in part 1 for local public health operations shall be prospectively allocated to local health departments to support immunizations, infectious disease control, sexually transmitted disease control and prevention, hearing screening, vision services, food protection, public water supply, private groundwater supply, and on-site sewage management. Food protection shall be provided in consultation with the Michigan department of agriculture. Public water supply, private groundwater supply, and on-site sewage management shall be provided in consultation with the Michigan department of environmental quality.</w:t>
      </w:r>
    </w:p>
    <w:p w14:paraId="0C50DF62" w14:textId="36781C33" w:rsidR="00374C4B" w:rsidRPr="00D45FF0" w:rsidRDefault="00374C4B" w:rsidP="00D45FF0">
      <w:pPr>
        <w:pStyle w:val="NoSpacing"/>
        <w:spacing w:after="240"/>
        <w:jc w:val="both"/>
        <w:rPr>
          <w:rFonts w:asciiTheme="majorHAnsi" w:hAnsiTheme="majorHAnsi"/>
          <w:szCs w:val="24"/>
        </w:rPr>
      </w:pPr>
      <w:r w:rsidRPr="00EB77A6">
        <w:rPr>
          <w:rFonts w:asciiTheme="majorHAnsi" w:hAnsiTheme="majorHAnsi"/>
          <w:szCs w:val="24"/>
        </w:rPr>
        <w:t>(2) Local public health departments will be held to contractual standards for the services in subsection (1).</w:t>
      </w:r>
    </w:p>
    <w:p w14:paraId="46FEF19E" w14:textId="4C2669B8" w:rsidR="001D54C4" w:rsidRPr="00D45FF0" w:rsidRDefault="001D54C4" w:rsidP="00D45FF0">
      <w:pPr>
        <w:pStyle w:val="NoSpacing"/>
        <w:spacing w:after="240"/>
        <w:ind w:firstLine="720"/>
        <w:jc w:val="both"/>
        <w:rPr>
          <w:rFonts w:asciiTheme="majorHAnsi" w:hAnsiTheme="majorHAnsi"/>
          <w:szCs w:val="24"/>
        </w:rPr>
      </w:pPr>
      <w:r w:rsidRPr="00EB77A6">
        <w:rPr>
          <w:rFonts w:asciiTheme="majorHAnsi" w:hAnsiTheme="majorHAnsi"/>
          <w:b/>
          <w:szCs w:val="24"/>
        </w:rPr>
        <w:t>Food Protection</w:t>
      </w:r>
      <w:r w:rsidR="005D27D0">
        <w:rPr>
          <w:rFonts w:asciiTheme="majorHAnsi" w:hAnsiTheme="majorHAnsi"/>
          <w:szCs w:val="24"/>
        </w:rPr>
        <w:t xml:space="preserve"> </w:t>
      </w:r>
      <w:r w:rsidR="005D27D0">
        <w:rPr>
          <w:rFonts w:asciiTheme="majorHAnsi" w:hAnsiTheme="majorHAnsi"/>
          <w:szCs w:val="24"/>
        </w:rPr>
        <w:sym w:font="Symbol" w:char="F0BE"/>
      </w:r>
      <w:r w:rsidR="005D27D0">
        <w:rPr>
          <w:rFonts w:asciiTheme="majorHAnsi" w:hAnsiTheme="majorHAnsi"/>
          <w:szCs w:val="24"/>
        </w:rPr>
        <w:t xml:space="preserve"> </w:t>
      </w:r>
      <w:r w:rsidRPr="00EB77A6">
        <w:rPr>
          <w:rFonts w:asciiTheme="majorHAnsi" w:hAnsiTheme="majorHAnsi"/>
          <w:szCs w:val="24"/>
        </w:rPr>
        <w:t>This service is intended to minimize the risk of foodborne illness to persons consuming food from licensed food service establishments. Secondary objectives include the satisfaction of reasonable customer expectations relative to sanitation, and protection of the environmental quality in the vicinity of food service establishments. Elements of this service include plan reviews, licenses and permits, inspections, complaint investigations, enforcement actions, and investigations of reported cases of foodborne diseases.</w:t>
      </w:r>
    </w:p>
    <w:p w14:paraId="280D1EE1" w14:textId="78B29FFE" w:rsidR="001D54C4" w:rsidRPr="00D45FF0" w:rsidRDefault="001D54C4" w:rsidP="00D45FF0">
      <w:pPr>
        <w:pStyle w:val="NoSpacing"/>
        <w:spacing w:after="240"/>
        <w:ind w:firstLine="720"/>
        <w:jc w:val="both"/>
        <w:rPr>
          <w:rFonts w:asciiTheme="majorHAnsi" w:hAnsiTheme="majorHAnsi"/>
          <w:szCs w:val="24"/>
        </w:rPr>
      </w:pPr>
      <w:r w:rsidRPr="00EB77A6">
        <w:rPr>
          <w:rFonts w:asciiTheme="majorHAnsi" w:hAnsiTheme="majorHAnsi"/>
          <w:b/>
          <w:szCs w:val="24"/>
        </w:rPr>
        <w:t>Private</w:t>
      </w:r>
      <w:r w:rsidR="00724367" w:rsidRPr="00EB77A6">
        <w:rPr>
          <w:rFonts w:asciiTheme="majorHAnsi" w:hAnsiTheme="majorHAnsi"/>
          <w:b/>
          <w:szCs w:val="24"/>
        </w:rPr>
        <w:t xml:space="preserve"> Groundwater</w:t>
      </w:r>
      <w:r w:rsidRPr="00EB77A6">
        <w:rPr>
          <w:rFonts w:asciiTheme="majorHAnsi" w:hAnsiTheme="majorHAnsi"/>
          <w:b/>
          <w:szCs w:val="24"/>
        </w:rPr>
        <w:t>/Public Water Supply</w:t>
      </w:r>
      <w:r w:rsidRPr="00EB77A6">
        <w:rPr>
          <w:rFonts w:asciiTheme="majorHAnsi" w:hAnsiTheme="majorHAnsi"/>
          <w:szCs w:val="24"/>
        </w:rPr>
        <w:t xml:space="preserve"> </w:t>
      </w:r>
      <w:r w:rsidR="005D27D0">
        <w:rPr>
          <w:rFonts w:asciiTheme="majorHAnsi" w:hAnsiTheme="majorHAnsi"/>
          <w:szCs w:val="24"/>
        </w:rPr>
        <w:sym w:font="Symbol" w:char="F0BE"/>
      </w:r>
      <w:r w:rsidR="005D27D0">
        <w:rPr>
          <w:rFonts w:asciiTheme="majorHAnsi" w:hAnsiTheme="majorHAnsi"/>
          <w:szCs w:val="24"/>
        </w:rPr>
        <w:t xml:space="preserve"> </w:t>
      </w:r>
      <w:r w:rsidR="00724367" w:rsidRPr="00EB77A6">
        <w:rPr>
          <w:rFonts w:asciiTheme="majorHAnsi" w:hAnsiTheme="majorHAnsi"/>
          <w:szCs w:val="24"/>
        </w:rPr>
        <w:t>W</w:t>
      </w:r>
      <w:r w:rsidRPr="00EB77A6">
        <w:rPr>
          <w:rFonts w:asciiTheme="majorHAnsi" w:hAnsiTheme="majorHAnsi"/>
          <w:szCs w:val="24"/>
        </w:rPr>
        <w:t>orks through education and regulation to assure the proper installation, operation, and abandonment of the water supplies serving private and public water supply users. This is accomplished through issuance of well permits for all water wells, inspection of well construction techniques, monitoring of water quality</w:t>
      </w:r>
      <w:r w:rsidR="00724367" w:rsidRPr="00EB77A6">
        <w:rPr>
          <w:rFonts w:asciiTheme="majorHAnsi" w:hAnsiTheme="majorHAnsi"/>
          <w:szCs w:val="24"/>
        </w:rPr>
        <w:t>,</w:t>
      </w:r>
      <w:r w:rsidRPr="00EB77A6">
        <w:rPr>
          <w:rFonts w:asciiTheme="majorHAnsi" w:hAnsiTheme="majorHAnsi"/>
          <w:szCs w:val="24"/>
        </w:rPr>
        <w:t xml:space="preserve"> and areas of known or suspected areas of contamination.</w:t>
      </w:r>
    </w:p>
    <w:p w14:paraId="634C10E2" w14:textId="77B0BF8B" w:rsidR="00724367" w:rsidRPr="00D45FF0" w:rsidRDefault="001D54C4" w:rsidP="00D45FF0">
      <w:pPr>
        <w:pStyle w:val="NoSpacing"/>
        <w:spacing w:after="240"/>
        <w:ind w:firstLine="720"/>
        <w:jc w:val="both"/>
        <w:rPr>
          <w:rFonts w:asciiTheme="majorHAnsi" w:hAnsiTheme="majorHAnsi"/>
          <w:szCs w:val="24"/>
        </w:rPr>
      </w:pPr>
      <w:r w:rsidRPr="00EB77A6">
        <w:rPr>
          <w:rFonts w:asciiTheme="majorHAnsi" w:hAnsiTheme="majorHAnsi"/>
          <w:b/>
          <w:szCs w:val="24"/>
        </w:rPr>
        <w:t>On-Site Sewage Disposal Management</w:t>
      </w:r>
      <w:r w:rsidR="005D27D0">
        <w:rPr>
          <w:rFonts w:asciiTheme="majorHAnsi" w:hAnsiTheme="majorHAnsi"/>
          <w:szCs w:val="24"/>
        </w:rPr>
        <w:t xml:space="preserve"> </w:t>
      </w:r>
      <w:r w:rsidR="005D27D0">
        <w:rPr>
          <w:rFonts w:asciiTheme="majorHAnsi" w:hAnsiTheme="majorHAnsi"/>
          <w:szCs w:val="24"/>
        </w:rPr>
        <w:sym w:font="Symbol" w:char="F0BE"/>
      </w:r>
      <w:r w:rsidR="00724367" w:rsidRPr="00EB77A6">
        <w:rPr>
          <w:rFonts w:asciiTheme="majorHAnsi" w:hAnsiTheme="majorHAnsi"/>
          <w:szCs w:val="24"/>
        </w:rPr>
        <w:t xml:space="preserve"> C</w:t>
      </w:r>
      <w:r w:rsidRPr="00EB77A6">
        <w:rPr>
          <w:rFonts w:asciiTheme="majorHAnsi" w:hAnsiTheme="majorHAnsi"/>
          <w:szCs w:val="24"/>
        </w:rPr>
        <w:t>onsists of the review of sites proposed for</w:t>
      </w:r>
      <w:r w:rsidR="00724367" w:rsidRPr="00EB77A6">
        <w:rPr>
          <w:rFonts w:asciiTheme="majorHAnsi" w:hAnsiTheme="majorHAnsi"/>
          <w:szCs w:val="24"/>
        </w:rPr>
        <w:t xml:space="preserve"> </w:t>
      </w:r>
      <w:r w:rsidRPr="00EB77A6">
        <w:rPr>
          <w:rFonts w:asciiTheme="majorHAnsi" w:hAnsiTheme="majorHAnsi"/>
          <w:szCs w:val="24"/>
        </w:rPr>
        <w:t>sewage disposal, issuance and/or denial of permits, sewage disposal system evaluations and</w:t>
      </w:r>
      <w:r w:rsidR="00724367" w:rsidRPr="00EB77A6">
        <w:rPr>
          <w:rFonts w:asciiTheme="majorHAnsi" w:hAnsiTheme="majorHAnsi"/>
          <w:szCs w:val="24"/>
        </w:rPr>
        <w:t xml:space="preserve"> </w:t>
      </w:r>
      <w:r w:rsidRPr="00EB77A6">
        <w:rPr>
          <w:rFonts w:asciiTheme="majorHAnsi" w:hAnsiTheme="majorHAnsi"/>
          <w:szCs w:val="24"/>
        </w:rPr>
        <w:t>inspections, plan review, review of proposals for alternative sewage disposal systems, investigations,</w:t>
      </w:r>
      <w:r w:rsidR="00724367" w:rsidRPr="00EB77A6">
        <w:rPr>
          <w:rFonts w:asciiTheme="majorHAnsi" w:hAnsiTheme="majorHAnsi"/>
          <w:szCs w:val="24"/>
        </w:rPr>
        <w:t xml:space="preserve"> </w:t>
      </w:r>
      <w:r w:rsidRPr="00EB77A6">
        <w:rPr>
          <w:rFonts w:asciiTheme="majorHAnsi" w:hAnsiTheme="majorHAnsi"/>
          <w:szCs w:val="24"/>
        </w:rPr>
        <w:t>and enforcement.</w:t>
      </w:r>
    </w:p>
    <w:p w14:paraId="7A154C1F" w14:textId="52B12378" w:rsidR="00724367" w:rsidRPr="00D45FF0" w:rsidRDefault="001D54C4" w:rsidP="00D45FF0">
      <w:pPr>
        <w:pStyle w:val="NoSpacing"/>
        <w:spacing w:after="240"/>
        <w:ind w:firstLine="720"/>
        <w:jc w:val="both"/>
        <w:rPr>
          <w:rFonts w:asciiTheme="majorHAnsi" w:hAnsiTheme="majorHAnsi"/>
          <w:szCs w:val="24"/>
        </w:rPr>
      </w:pPr>
      <w:r w:rsidRPr="00EB77A6">
        <w:rPr>
          <w:rFonts w:asciiTheme="majorHAnsi" w:hAnsiTheme="majorHAnsi"/>
          <w:b/>
          <w:szCs w:val="24"/>
        </w:rPr>
        <w:t>Hearing Screening</w:t>
      </w:r>
      <w:r w:rsidR="005D27D0">
        <w:rPr>
          <w:rFonts w:asciiTheme="majorHAnsi" w:hAnsiTheme="majorHAnsi"/>
          <w:b/>
          <w:szCs w:val="24"/>
        </w:rPr>
        <w:t xml:space="preserve"> </w:t>
      </w:r>
      <w:r w:rsidR="005D27D0">
        <w:rPr>
          <w:rFonts w:asciiTheme="majorHAnsi" w:hAnsiTheme="majorHAnsi"/>
          <w:b/>
          <w:szCs w:val="24"/>
        </w:rPr>
        <w:sym w:font="Symbol" w:char="F0BE"/>
      </w:r>
      <w:r w:rsidR="005D27D0">
        <w:rPr>
          <w:rFonts w:asciiTheme="majorHAnsi" w:hAnsiTheme="majorHAnsi"/>
          <w:b/>
          <w:szCs w:val="24"/>
        </w:rPr>
        <w:t xml:space="preserve"> </w:t>
      </w:r>
      <w:r w:rsidR="00724367" w:rsidRPr="00EB77A6">
        <w:rPr>
          <w:rFonts w:asciiTheme="majorHAnsi" w:hAnsiTheme="majorHAnsi"/>
          <w:szCs w:val="24"/>
        </w:rPr>
        <w:t xml:space="preserve"> I</w:t>
      </w:r>
      <w:r w:rsidRPr="00EB77A6">
        <w:rPr>
          <w:rFonts w:asciiTheme="majorHAnsi" w:hAnsiTheme="majorHAnsi"/>
          <w:szCs w:val="24"/>
        </w:rPr>
        <w:t>nclude</w:t>
      </w:r>
      <w:r w:rsidR="00724367" w:rsidRPr="00EB77A6">
        <w:rPr>
          <w:rFonts w:asciiTheme="majorHAnsi" w:hAnsiTheme="majorHAnsi"/>
          <w:szCs w:val="24"/>
        </w:rPr>
        <w:t>s</w:t>
      </w:r>
      <w:r w:rsidRPr="00EB77A6">
        <w:rPr>
          <w:rFonts w:asciiTheme="majorHAnsi" w:hAnsiTheme="majorHAnsi"/>
          <w:szCs w:val="24"/>
        </w:rPr>
        <w:t xml:space="preserve"> screening of hearing problems, referral, and health education for the</w:t>
      </w:r>
      <w:r w:rsidR="00724367" w:rsidRPr="00EB77A6">
        <w:rPr>
          <w:rFonts w:asciiTheme="majorHAnsi" w:hAnsiTheme="majorHAnsi"/>
          <w:szCs w:val="24"/>
        </w:rPr>
        <w:t xml:space="preserve"> </w:t>
      </w:r>
      <w:r w:rsidRPr="00EB77A6">
        <w:rPr>
          <w:rFonts w:asciiTheme="majorHAnsi" w:hAnsiTheme="majorHAnsi"/>
          <w:szCs w:val="24"/>
        </w:rPr>
        <w:t>prevention of deafness and the amelioration of hearing problems. The primary focus of hearing</w:t>
      </w:r>
      <w:r w:rsidR="00724367" w:rsidRPr="00EB77A6">
        <w:rPr>
          <w:rFonts w:asciiTheme="majorHAnsi" w:hAnsiTheme="majorHAnsi"/>
          <w:szCs w:val="24"/>
        </w:rPr>
        <w:t xml:space="preserve"> </w:t>
      </w:r>
      <w:r w:rsidRPr="00EB77A6">
        <w:rPr>
          <w:rFonts w:asciiTheme="majorHAnsi" w:hAnsiTheme="majorHAnsi"/>
          <w:szCs w:val="24"/>
        </w:rPr>
        <w:t>services is preschool children (ages 3-5 years) and school-age children.</w:t>
      </w:r>
    </w:p>
    <w:p w14:paraId="06126E13" w14:textId="6B784DB7" w:rsidR="00E53269" w:rsidRPr="005D27D0" w:rsidRDefault="001D54C4" w:rsidP="005D27D0">
      <w:pPr>
        <w:pStyle w:val="NoSpacing"/>
        <w:ind w:firstLine="720"/>
        <w:jc w:val="both"/>
        <w:rPr>
          <w:rFonts w:asciiTheme="majorHAnsi" w:hAnsiTheme="majorHAnsi"/>
          <w:szCs w:val="24"/>
        </w:rPr>
      </w:pPr>
      <w:r w:rsidRPr="00EB77A6">
        <w:rPr>
          <w:rFonts w:asciiTheme="majorHAnsi" w:hAnsiTheme="majorHAnsi"/>
          <w:b/>
          <w:szCs w:val="24"/>
        </w:rPr>
        <w:t xml:space="preserve">Vision </w:t>
      </w:r>
      <w:r w:rsidR="00724367" w:rsidRPr="00EB77A6">
        <w:rPr>
          <w:rFonts w:asciiTheme="majorHAnsi" w:hAnsiTheme="majorHAnsi"/>
          <w:b/>
          <w:szCs w:val="24"/>
        </w:rPr>
        <w:t>Services</w:t>
      </w:r>
      <w:r w:rsidR="00724367" w:rsidRPr="00EB77A6">
        <w:rPr>
          <w:rFonts w:asciiTheme="majorHAnsi" w:hAnsiTheme="majorHAnsi"/>
          <w:szCs w:val="24"/>
        </w:rPr>
        <w:t xml:space="preserve"> </w:t>
      </w:r>
      <w:r w:rsidR="005D27D0">
        <w:rPr>
          <w:rFonts w:asciiTheme="majorHAnsi" w:hAnsiTheme="majorHAnsi"/>
          <w:szCs w:val="24"/>
        </w:rPr>
        <w:sym w:font="Symbol" w:char="F0BE"/>
      </w:r>
      <w:r w:rsidR="005D27D0">
        <w:rPr>
          <w:rFonts w:asciiTheme="majorHAnsi" w:hAnsiTheme="majorHAnsi"/>
          <w:szCs w:val="24"/>
        </w:rPr>
        <w:t xml:space="preserve"> </w:t>
      </w:r>
      <w:r w:rsidR="00724367" w:rsidRPr="00EB77A6">
        <w:rPr>
          <w:rFonts w:asciiTheme="majorHAnsi" w:hAnsiTheme="majorHAnsi"/>
          <w:szCs w:val="24"/>
        </w:rPr>
        <w:t>I</w:t>
      </w:r>
      <w:r w:rsidRPr="00EB77A6">
        <w:rPr>
          <w:rFonts w:asciiTheme="majorHAnsi" w:hAnsiTheme="majorHAnsi"/>
          <w:szCs w:val="24"/>
        </w:rPr>
        <w:t>nclude</w:t>
      </w:r>
      <w:r w:rsidR="00724367" w:rsidRPr="00EB77A6">
        <w:rPr>
          <w:rFonts w:asciiTheme="majorHAnsi" w:hAnsiTheme="majorHAnsi"/>
          <w:szCs w:val="24"/>
        </w:rPr>
        <w:t>s</w:t>
      </w:r>
      <w:r w:rsidRPr="00EB77A6">
        <w:rPr>
          <w:rFonts w:asciiTheme="majorHAnsi" w:hAnsiTheme="majorHAnsi"/>
          <w:szCs w:val="24"/>
        </w:rPr>
        <w:t xml:space="preserve"> screening, health education, and referral for the prevention of blindness and</w:t>
      </w:r>
      <w:r w:rsidR="00724367" w:rsidRPr="00EB77A6">
        <w:rPr>
          <w:rFonts w:asciiTheme="majorHAnsi" w:hAnsiTheme="majorHAnsi"/>
          <w:szCs w:val="24"/>
        </w:rPr>
        <w:t xml:space="preserve"> </w:t>
      </w:r>
      <w:r w:rsidRPr="00EB77A6">
        <w:rPr>
          <w:rFonts w:asciiTheme="majorHAnsi" w:hAnsiTheme="majorHAnsi"/>
          <w:szCs w:val="24"/>
        </w:rPr>
        <w:t>the amelioration of vision problems. The primary focus of vision services is preschool children (ages</w:t>
      </w:r>
      <w:r w:rsidR="00724367" w:rsidRPr="00EB77A6">
        <w:rPr>
          <w:rFonts w:asciiTheme="majorHAnsi" w:hAnsiTheme="majorHAnsi"/>
          <w:szCs w:val="24"/>
        </w:rPr>
        <w:t xml:space="preserve"> </w:t>
      </w:r>
      <w:r w:rsidRPr="00EB77A6">
        <w:rPr>
          <w:rFonts w:asciiTheme="majorHAnsi" w:hAnsiTheme="majorHAnsi"/>
          <w:szCs w:val="24"/>
        </w:rPr>
        <w:t>3-5 years) and school-age children.</w:t>
      </w:r>
    </w:p>
    <w:p w14:paraId="74D101DA" w14:textId="4A399F96" w:rsidR="00D45FF0" w:rsidRDefault="00D45FF0" w:rsidP="005D27D0">
      <w:pPr>
        <w:spacing w:after="240"/>
        <w:rPr>
          <w:rFonts w:ascii="Montserrat SemiBold" w:hAnsi="Montserrat SemiBold" w:cs="Arial"/>
          <w:b/>
          <w:color w:val="C00000"/>
          <w:sz w:val="28"/>
          <w:szCs w:val="28"/>
        </w:rPr>
      </w:pPr>
      <w:r>
        <w:rPr>
          <w:rFonts w:asciiTheme="majorHAnsi" w:hAnsiTheme="majorHAnsi"/>
          <w:b/>
          <w:noProof/>
          <w:szCs w:val="24"/>
        </w:rPr>
        <w:lastRenderedPageBreak/>
        <w:drawing>
          <wp:anchor distT="0" distB="0" distL="114300" distR="114300" simplePos="0" relativeHeight="251662336" behindDoc="1" locked="0" layoutInCell="1" allowOverlap="1" wp14:anchorId="1FAC2C17" wp14:editId="3D5B6EF3">
            <wp:simplePos x="0" y="0"/>
            <wp:positionH relativeFrom="margin">
              <wp:posOffset>4743450</wp:posOffset>
            </wp:positionH>
            <wp:positionV relativeFrom="paragraph">
              <wp:posOffset>-247650</wp:posOffset>
            </wp:positionV>
            <wp:extent cx="1741407" cy="97920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1407" cy="9792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4"/>
          <w:szCs w:val="24"/>
        </w:rPr>
        <mc:AlternateContent>
          <mc:Choice Requires="wps">
            <w:drawing>
              <wp:anchor distT="0" distB="0" distL="114300" distR="114300" simplePos="0" relativeHeight="251660288" behindDoc="0" locked="0" layoutInCell="1" allowOverlap="1" wp14:anchorId="1714324D" wp14:editId="0D1F78D9">
                <wp:simplePos x="0" y="0"/>
                <wp:positionH relativeFrom="margin">
                  <wp:align>left</wp:align>
                </wp:positionH>
                <wp:positionV relativeFrom="paragraph">
                  <wp:posOffset>-335915</wp:posOffset>
                </wp:positionV>
                <wp:extent cx="4557600" cy="1137285"/>
                <wp:effectExtent l="0" t="0" r="14605" b="2476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7600" cy="1137285"/>
                        </a:xfrm>
                        <a:prstGeom prst="flowChartAlternateProcess">
                          <a:avLst/>
                        </a:prstGeom>
                        <a:gradFill flip="none" rotWithShape="1">
                          <a:gsLst>
                            <a:gs pos="0">
                              <a:srgbClr val="406F93">
                                <a:tint val="66000"/>
                                <a:satMod val="160000"/>
                              </a:srgbClr>
                            </a:gs>
                            <a:gs pos="50000">
                              <a:srgbClr val="406F93">
                                <a:tint val="44500"/>
                                <a:satMod val="160000"/>
                              </a:srgbClr>
                            </a:gs>
                            <a:gs pos="100000">
                              <a:srgbClr val="406F93">
                                <a:tint val="23500"/>
                                <a:satMod val="160000"/>
                              </a:srgbClr>
                            </a:gs>
                          </a:gsLst>
                          <a:lin ang="0" scaled="1"/>
                          <a:tileRect/>
                        </a:gradFill>
                        <a:ln w="12700">
                          <a:solidFill>
                            <a:srgbClr val="406F93"/>
                          </a:solidFill>
                          <a:miter lim="800000"/>
                          <a:headEnd/>
                          <a:tailEnd/>
                        </a:ln>
                        <a:effectLst/>
                      </wps:spPr>
                      <wps:txbx>
                        <w:txbxContent>
                          <w:p w14:paraId="2525C2FF" w14:textId="38525831" w:rsidR="00D45FF0" w:rsidRDefault="00D45FF0" w:rsidP="00D45FF0">
                            <w:pPr>
                              <w:jc w:val="center"/>
                              <w:rPr>
                                <w:rFonts w:ascii="Montserrat SemiBold" w:hAnsi="Montserrat SemiBold" w:cs="Arial"/>
                                <w:b/>
                                <w:sz w:val="40"/>
                                <w:szCs w:val="40"/>
                              </w:rPr>
                            </w:pPr>
                            <w:r w:rsidRPr="005D27D0">
                              <w:rPr>
                                <w:rFonts w:ascii="Montserrat SemiBold" w:hAnsi="Montserrat SemiBold" w:cs="Arial"/>
                                <w:b/>
                                <w:sz w:val="40"/>
                                <w:szCs w:val="40"/>
                              </w:rPr>
                              <w:t>Essential Local Public Health Services</w:t>
                            </w:r>
                            <w:r>
                              <w:rPr>
                                <w:rFonts w:ascii="Montserrat SemiBold" w:hAnsi="Montserrat SemiBold" w:cs="Arial"/>
                                <w:b/>
                                <w:sz w:val="40"/>
                                <w:szCs w:val="40"/>
                              </w:rPr>
                              <w:t xml:space="preserve"> (ELPHS)</w:t>
                            </w:r>
                          </w:p>
                          <w:p w14:paraId="4A0E2BE3" w14:textId="112AA55C" w:rsidR="00D45FF0" w:rsidRPr="00D45FF0" w:rsidRDefault="00D45FF0" w:rsidP="00D45FF0">
                            <w:pPr>
                              <w:jc w:val="center"/>
                              <w:rPr>
                                <w:rFonts w:ascii="Montserrat Medium" w:hAnsi="Montserrat Medium" w:cs="Arial"/>
                                <w:bCs/>
                                <w:sz w:val="40"/>
                                <w:szCs w:val="40"/>
                              </w:rPr>
                            </w:pPr>
                            <w:r w:rsidRPr="00D45FF0">
                              <w:rPr>
                                <w:rFonts w:ascii="Montserrat Medium" w:hAnsi="Montserrat Medium" w:cs="Arial"/>
                                <w:bCs/>
                                <w:sz w:val="40"/>
                                <w:szCs w:val="40"/>
                              </w:rPr>
                              <w:t>Cost-Shared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324D" id="_x0000_s1027" type="#_x0000_t176" style="position:absolute;margin-left:0;margin-top:-26.45pt;width:358.85pt;height:89.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" fillcolor="#9cb1c9" strokecolor="#406f93" strokeweight="1pt">
                <v:fill color2="#e2e7ee" rotate="t" angle="90" colors="0 #9cb1c9;.5 #c3cfdc;1 #e2e7ee" focus="100%" type="gradient"/>
                <v:textbox>
                  <w:txbxContent>
                    <w:p w14:paraId="2525C2FF" w14:textId="38525831" w:rsidR="00D45FF0" w:rsidRDefault="00D45FF0" w:rsidP="00D45FF0">
                      <w:pPr>
                        <w:jc w:val="center"/>
                        <w:rPr>
                          <w:rFonts w:ascii="Montserrat SemiBold" w:hAnsi="Montserrat SemiBold" w:cs="Arial"/>
                          <w:b/>
                          <w:sz w:val="40"/>
                          <w:szCs w:val="40"/>
                        </w:rPr>
                      </w:pPr>
                      <w:r w:rsidRPr="005D27D0">
                        <w:rPr>
                          <w:rFonts w:ascii="Montserrat SemiBold" w:hAnsi="Montserrat SemiBold" w:cs="Arial"/>
                          <w:b/>
                          <w:sz w:val="40"/>
                          <w:szCs w:val="40"/>
                        </w:rPr>
                        <w:t>Essential Local Public Health Services</w:t>
                      </w:r>
                      <w:r>
                        <w:rPr>
                          <w:rFonts w:ascii="Montserrat SemiBold" w:hAnsi="Montserrat SemiBold" w:cs="Arial"/>
                          <w:b/>
                          <w:sz w:val="40"/>
                          <w:szCs w:val="40"/>
                        </w:rPr>
                        <w:t xml:space="preserve"> (ELPHS)</w:t>
                      </w:r>
                    </w:p>
                    <w:p w14:paraId="4A0E2BE3" w14:textId="112AA55C" w:rsidR="00D45FF0" w:rsidRPr="00D45FF0" w:rsidRDefault="00D45FF0" w:rsidP="00D45FF0">
                      <w:pPr>
                        <w:jc w:val="center"/>
                        <w:rPr>
                          <w:rFonts w:ascii="Montserrat Medium" w:hAnsi="Montserrat Medium" w:cs="Arial"/>
                          <w:bCs/>
                          <w:sz w:val="40"/>
                          <w:szCs w:val="40"/>
                        </w:rPr>
                      </w:pPr>
                      <w:r w:rsidRPr="00D45FF0">
                        <w:rPr>
                          <w:rFonts w:ascii="Montserrat Medium" w:hAnsi="Montserrat Medium" w:cs="Arial"/>
                          <w:bCs/>
                          <w:sz w:val="40"/>
                          <w:szCs w:val="40"/>
                        </w:rPr>
                        <w:t>Cost-Shared Services</w:t>
                      </w:r>
                    </w:p>
                  </w:txbxContent>
                </v:textbox>
                <w10:wrap anchorx="margin"/>
              </v:shape>
            </w:pict>
          </mc:Fallback>
        </mc:AlternateContent>
      </w:r>
    </w:p>
    <w:p w14:paraId="03FAE4B0" w14:textId="210481BC" w:rsidR="00D45FF0" w:rsidRDefault="00D45FF0" w:rsidP="005D27D0">
      <w:pPr>
        <w:spacing w:after="240"/>
        <w:rPr>
          <w:rFonts w:ascii="Montserrat SemiBold" w:hAnsi="Montserrat SemiBold" w:cs="Arial"/>
          <w:b/>
          <w:color w:val="C00000"/>
          <w:sz w:val="28"/>
          <w:szCs w:val="28"/>
        </w:rPr>
      </w:pPr>
    </w:p>
    <w:p w14:paraId="3D406A5C" w14:textId="77777777" w:rsidR="00D45FF0" w:rsidRDefault="00D45FF0" w:rsidP="005D27D0">
      <w:pPr>
        <w:spacing w:after="240"/>
        <w:rPr>
          <w:rFonts w:ascii="Montserrat SemiBold" w:hAnsi="Montserrat SemiBold" w:cs="Arial"/>
          <w:b/>
          <w:color w:val="C00000"/>
          <w:sz w:val="28"/>
          <w:szCs w:val="28"/>
        </w:rPr>
      </w:pPr>
    </w:p>
    <w:p w14:paraId="2E602A1F" w14:textId="4B23F37A" w:rsidR="00E53269" w:rsidRPr="005D27D0" w:rsidRDefault="00E53269" w:rsidP="005D27D0">
      <w:pPr>
        <w:spacing w:after="240"/>
        <w:rPr>
          <w:rFonts w:ascii="Montserrat SemiBold" w:hAnsi="Montserrat SemiBold" w:cs="Arial"/>
          <w:b/>
          <w:color w:val="C00000"/>
          <w:sz w:val="28"/>
          <w:szCs w:val="28"/>
        </w:rPr>
      </w:pPr>
      <w:r w:rsidRPr="005D27D0">
        <w:rPr>
          <w:rFonts w:ascii="Montserrat SemiBold" w:hAnsi="Montserrat SemiBold" w:cs="Arial"/>
          <w:b/>
          <w:color w:val="C00000"/>
          <w:sz w:val="28"/>
          <w:szCs w:val="28"/>
        </w:rPr>
        <w:t>Michigan Public Health Code – Act 368 of 1978 (Concluded)</w:t>
      </w:r>
    </w:p>
    <w:p w14:paraId="45842E3E" w14:textId="568AF724" w:rsidR="00EB77A6" w:rsidRPr="00D45FF0" w:rsidRDefault="001D54C4" w:rsidP="00D45FF0">
      <w:pPr>
        <w:pStyle w:val="NoSpacing"/>
        <w:spacing w:after="240"/>
        <w:ind w:firstLine="720"/>
        <w:jc w:val="both"/>
        <w:rPr>
          <w:rFonts w:asciiTheme="majorHAnsi" w:hAnsiTheme="majorHAnsi"/>
          <w:szCs w:val="24"/>
        </w:rPr>
      </w:pPr>
      <w:r w:rsidRPr="00EB77A6">
        <w:rPr>
          <w:rFonts w:asciiTheme="majorHAnsi" w:hAnsiTheme="majorHAnsi"/>
          <w:b/>
          <w:szCs w:val="24"/>
        </w:rPr>
        <w:t>Sexually Transmitted Disease</w:t>
      </w:r>
      <w:r w:rsidR="00724367" w:rsidRPr="00EB77A6">
        <w:rPr>
          <w:rFonts w:asciiTheme="majorHAnsi" w:hAnsiTheme="majorHAnsi"/>
          <w:szCs w:val="24"/>
        </w:rPr>
        <w:t xml:space="preserve"> </w:t>
      </w:r>
      <w:r w:rsidR="00724367" w:rsidRPr="00EB77A6">
        <w:rPr>
          <w:rFonts w:asciiTheme="majorHAnsi" w:hAnsiTheme="majorHAnsi"/>
          <w:b/>
          <w:szCs w:val="24"/>
        </w:rPr>
        <w:t>Control and Prevention</w:t>
      </w:r>
      <w:r w:rsidR="005D27D0">
        <w:rPr>
          <w:rFonts w:asciiTheme="majorHAnsi" w:hAnsiTheme="majorHAnsi"/>
          <w:szCs w:val="24"/>
        </w:rPr>
        <w:t xml:space="preserve"> </w:t>
      </w:r>
      <w:r w:rsidR="005D27D0">
        <w:rPr>
          <w:rFonts w:asciiTheme="majorHAnsi" w:hAnsiTheme="majorHAnsi"/>
          <w:szCs w:val="24"/>
        </w:rPr>
        <w:sym w:font="Symbol" w:char="F0BE"/>
      </w:r>
      <w:r w:rsidR="005D27D0">
        <w:rPr>
          <w:rFonts w:asciiTheme="majorHAnsi" w:hAnsiTheme="majorHAnsi"/>
          <w:szCs w:val="24"/>
        </w:rPr>
        <w:t xml:space="preserve"> </w:t>
      </w:r>
      <w:r w:rsidRPr="00EB77A6">
        <w:rPr>
          <w:rFonts w:asciiTheme="majorHAnsi" w:hAnsiTheme="majorHAnsi"/>
          <w:szCs w:val="24"/>
        </w:rPr>
        <w:t>This program addresses disease transmitted through sexual contact, primarily syphilis,</w:t>
      </w:r>
      <w:r w:rsidR="00724367" w:rsidRPr="00EB77A6">
        <w:rPr>
          <w:rFonts w:asciiTheme="majorHAnsi" w:hAnsiTheme="majorHAnsi"/>
          <w:szCs w:val="24"/>
        </w:rPr>
        <w:t xml:space="preserve"> </w:t>
      </w:r>
      <w:r w:rsidRPr="00EB77A6">
        <w:rPr>
          <w:rFonts w:asciiTheme="majorHAnsi" w:hAnsiTheme="majorHAnsi"/>
          <w:szCs w:val="24"/>
        </w:rPr>
        <w:t>gonorrhea, Chlamydia, and HIV; the element targets the immediate effects and long-term sequelae,</w:t>
      </w:r>
      <w:r w:rsidR="00724367" w:rsidRPr="00EB77A6">
        <w:rPr>
          <w:rFonts w:asciiTheme="majorHAnsi" w:hAnsiTheme="majorHAnsi"/>
          <w:szCs w:val="24"/>
        </w:rPr>
        <w:t xml:space="preserve"> </w:t>
      </w:r>
      <w:r w:rsidRPr="00EB77A6">
        <w:rPr>
          <w:rFonts w:asciiTheme="majorHAnsi" w:hAnsiTheme="majorHAnsi"/>
          <w:szCs w:val="24"/>
        </w:rPr>
        <w:t>as well as prevention of the infections. Surveillance, screening, clinical services, sexual partner</w:t>
      </w:r>
      <w:r w:rsidR="00724367" w:rsidRPr="00EB77A6">
        <w:rPr>
          <w:rFonts w:asciiTheme="majorHAnsi" w:hAnsiTheme="majorHAnsi"/>
          <w:szCs w:val="24"/>
        </w:rPr>
        <w:t xml:space="preserve"> </w:t>
      </w:r>
      <w:r w:rsidRPr="00EB77A6">
        <w:rPr>
          <w:rFonts w:asciiTheme="majorHAnsi" w:hAnsiTheme="majorHAnsi"/>
          <w:szCs w:val="24"/>
        </w:rPr>
        <w:t>referral, and education are major program components.</w:t>
      </w:r>
    </w:p>
    <w:p w14:paraId="36700826" w14:textId="2B430F5A" w:rsidR="00724367" w:rsidRPr="00EB77A6" w:rsidRDefault="001D54C4" w:rsidP="00D45FF0">
      <w:pPr>
        <w:pStyle w:val="NoSpacing"/>
        <w:spacing w:after="240"/>
        <w:ind w:firstLine="720"/>
        <w:jc w:val="both"/>
        <w:rPr>
          <w:rFonts w:asciiTheme="majorHAnsi" w:hAnsiTheme="majorHAnsi"/>
          <w:szCs w:val="24"/>
        </w:rPr>
      </w:pPr>
      <w:r w:rsidRPr="00EB77A6">
        <w:rPr>
          <w:rFonts w:asciiTheme="majorHAnsi" w:hAnsiTheme="majorHAnsi"/>
          <w:b/>
          <w:szCs w:val="24"/>
        </w:rPr>
        <w:t>Immunization</w:t>
      </w:r>
      <w:r w:rsidR="005D27D0">
        <w:rPr>
          <w:rFonts w:asciiTheme="majorHAnsi" w:hAnsiTheme="majorHAnsi"/>
          <w:szCs w:val="24"/>
        </w:rPr>
        <w:t xml:space="preserve"> </w:t>
      </w:r>
      <w:r w:rsidR="005D27D0">
        <w:rPr>
          <w:rFonts w:asciiTheme="majorHAnsi" w:hAnsiTheme="majorHAnsi"/>
          <w:szCs w:val="24"/>
        </w:rPr>
        <w:sym w:font="Symbol" w:char="F0BE"/>
      </w:r>
      <w:r w:rsidR="005D27D0">
        <w:rPr>
          <w:rFonts w:asciiTheme="majorHAnsi" w:hAnsiTheme="majorHAnsi"/>
          <w:szCs w:val="24"/>
        </w:rPr>
        <w:t xml:space="preserve"> </w:t>
      </w:r>
      <w:r w:rsidRPr="00EB77A6">
        <w:rPr>
          <w:rFonts w:asciiTheme="majorHAnsi" w:hAnsiTheme="majorHAnsi"/>
          <w:szCs w:val="24"/>
        </w:rPr>
        <w:t>This program entails the provision of immunizations to the entire population, with special</w:t>
      </w:r>
      <w:r w:rsidR="00724367" w:rsidRPr="00EB77A6">
        <w:rPr>
          <w:rFonts w:asciiTheme="majorHAnsi" w:hAnsiTheme="majorHAnsi"/>
          <w:szCs w:val="24"/>
        </w:rPr>
        <w:t xml:space="preserve"> </w:t>
      </w:r>
      <w:r w:rsidRPr="00EB77A6">
        <w:rPr>
          <w:rFonts w:asciiTheme="majorHAnsi" w:hAnsiTheme="majorHAnsi"/>
          <w:szCs w:val="24"/>
        </w:rPr>
        <w:t>emphasis on pediatric populations, including proper storage, handling and distribution; the</w:t>
      </w:r>
      <w:r w:rsidR="00724367" w:rsidRPr="00EB77A6">
        <w:rPr>
          <w:rFonts w:asciiTheme="majorHAnsi" w:hAnsiTheme="majorHAnsi"/>
          <w:szCs w:val="24"/>
        </w:rPr>
        <w:t xml:space="preserve"> </w:t>
      </w:r>
      <w:r w:rsidRPr="00EB77A6">
        <w:rPr>
          <w:rFonts w:asciiTheme="majorHAnsi" w:hAnsiTheme="majorHAnsi"/>
          <w:szCs w:val="24"/>
        </w:rPr>
        <w:t>assessment of immunization levels to identify susceptible populations and to evaluate the</w:t>
      </w:r>
      <w:r w:rsidR="00724367" w:rsidRPr="00EB77A6">
        <w:rPr>
          <w:rFonts w:asciiTheme="majorHAnsi" w:hAnsiTheme="majorHAnsi"/>
          <w:szCs w:val="24"/>
        </w:rPr>
        <w:t xml:space="preserve"> </w:t>
      </w:r>
      <w:r w:rsidRPr="00EB77A6">
        <w:rPr>
          <w:rFonts w:asciiTheme="majorHAnsi" w:hAnsiTheme="majorHAnsi"/>
          <w:szCs w:val="24"/>
        </w:rPr>
        <w:t>effectiveness of immunization programs</w:t>
      </w:r>
      <w:r w:rsidR="00724367" w:rsidRPr="00EB77A6">
        <w:rPr>
          <w:rFonts w:asciiTheme="majorHAnsi" w:hAnsiTheme="majorHAnsi"/>
          <w:szCs w:val="24"/>
        </w:rPr>
        <w:t xml:space="preserve">; </w:t>
      </w:r>
      <w:r w:rsidRPr="00EB77A6">
        <w:rPr>
          <w:rFonts w:asciiTheme="majorHAnsi" w:hAnsiTheme="majorHAnsi"/>
          <w:szCs w:val="24"/>
        </w:rPr>
        <w:t>and the assurance of complete immunization coverage</w:t>
      </w:r>
      <w:r w:rsidR="00724367" w:rsidRPr="00EB77A6">
        <w:rPr>
          <w:rFonts w:asciiTheme="majorHAnsi" w:hAnsiTheme="majorHAnsi"/>
          <w:szCs w:val="24"/>
        </w:rPr>
        <w:t xml:space="preserve"> </w:t>
      </w:r>
      <w:r w:rsidR="00EB77A6">
        <w:rPr>
          <w:rFonts w:asciiTheme="majorHAnsi" w:hAnsiTheme="majorHAnsi"/>
          <w:szCs w:val="24"/>
        </w:rPr>
        <w:t>a</w:t>
      </w:r>
      <w:r w:rsidRPr="00EB77A6">
        <w:rPr>
          <w:rFonts w:asciiTheme="majorHAnsi" w:hAnsiTheme="majorHAnsi"/>
          <w:szCs w:val="24"/>
        </w:rPr>
        <w:t>mong children enrolled in school, daycare or other preschool programs.</w:t>
      </w:r>
    </w:p>
    <w:p w14:paraId="02F57A8B" w14:textId="7DDEFB66" w:rsidR="001D54C4" w:rsidRPr="00EB77A6" w:rsidRDefault="001D54C4" w:rsidP="005D27D0">
      <w:pPr>
        <w:pStyle w:val="NoSpacing"/>
        <w:ind w:firstLine="720"/>
        <w:jc w:val="both"/>
        <w:rPr>
          <w:rFonts w:asciiTheme="majorHAnsi" w:hAnsiTheme="majorHAnsi"/>
          <w:szCs w:val="24"/>
        </w:rPr>
      </w:pPr>
      <w:r w:rsidRPr="00EB77A6">
        <w:rPr>
          <w:rFonts w:asciiTheme="majorHAnsi" w:hAnsiTheme="majorHAnsi"/>
          <w:b/>
          <w:szCs w:val="24"/>
        </w:rPr>
        <w:t>Infectious Disease Control</w:t>
      </w:r>
      <w:r w:rsidR="005D27D0">
        <w:rPr>
          <w:rFonts w:asciiTheme="majorHAnsi" w:hAnsiTheme="majorHAnsi"/>
          <w:szCs w:val="24"/>
        </w:rPr>
        <w:t xml:space="preserve"> </w:t>
      </w:r>
      <w:r w:rsidR="005D27D0">
        <w:rPr>
          <w:rFonts w:asciiTheme="majorHAnsi" w:hAnsiTheme="majorHAnsi"/>
          <w:szCs w:val="24"/>
        </w:rPr>
        <w:sym w:font="Symbol" w:char="F0BE"/>
      </w:r>
      <w:r w:rsidR="005D27D0">
        <w:rPr>
          <w:rFonts w:asciiTheme="majorHAnsi" w:hAnsiTheme="majorHAnsi"/>
          <w:szCs w:val="24"/>
        </w:rPr>
        <w:t xml:space="preserve"> </w:t>
      </w:r>
      <w:r w:rsidRPr="00EB77A6">
        <w:rPr>
          <w:rFonts w:asciiTheme="majorHAnsi" w:hAnsiTheme="majorHAnsi"/>
          <w:szCs w:val="24"/>
        </w:rPr>
        <w:t>This program renders services that cut across the full range of infectious diseases, including the</w:t>
      </w:r>
      <w:r w:rsidR="00724367" w:rsidRPr="00EB77A6">
        <w:rPr>
          <w:rFonts w:asciiTheme="majorHAnsi" w:hAnsiTheme="majorHAnsi"/>
          <w:szCs w:val="24"/>
        </w:rPr>
        <w:t xml:space="preserve"> </w:t>
      </w:r>
      <w:r w:rsidRPr="00EB77A6">
        <w:rPr>
          <w:rFonts w:asciiTheme="majorHAnsi" w:hAnsiTheme="majorHAnsi"/>
          <w:szCs w:val="24"/>
        </w:rPr>
        <w:t>vaccine preventable diseases, the sexually transmitted diseases, human immunodeficiency virus</w:t>
      </w:r>
      <w:r w:rsidR="00724367" w:rsidRPr="00EB77A6">
        <w:rPr>
          <w:rFonts w:asciiTheme="majorHAnsi" w:hAnsiTheme="majorHAnsi"/>
          <w:szCs w:val="24"/>
        </w:rPr>
        <w:t xml:space="preserve"> </w:t>
      </w:r>
      <w:r w:rsidRPr="00EB77A6">
        <w:rPr>
          <w:rFonts w:asciiTheme="majorHAnsi" w:hAnsiTheme="majorHAnsi"/>
          <w:szCs w:val="24"/>
        </w:rPr>
        <w:t>(HIV) related disease, and tuberculosis. The activities of this program are directed toward preventing</w:t>
      </w:r>
      <w:r w:rsidR="00724367" w:rsidRPr="00EB77A6">
        <w:rPr>
          <w:rFonts w:asciiTheme="majorHAnsi" w:hAnsiTheme="majorHAnsi"/>
          <w:szCs w:val="24"/>
        </w:rPr>
        <w:t xml:space="preserve"> </w:t>
      </w:r>
      <w:r w:rsidRPr="00EB77A6">
        <w:rPr>
          <w:rFonts w:asciiTheme="majorHAnsi" w:hAnsiTheme="majorHAnsi"/>
          <w:szCs w:val="24"/>
        </w:rPr>
        <w:t>infectious disease, the gathering of information concerning the occurrence of infectious diseases,</w:t>
      </w:r>
      <w:r w:rsidR="00724367" w:rsidRPr="00EB77A6">
        <w:rPr>
          <w:rFonts w:asciiTheme="majorHAnsi" w:hAnsiTheme="majorHAnsi"/>
          <w:szCs w:val="24"/>
        </w:rPr>
        <w:t xml:space="preserve"> </w:t>
      </w:r>
      <w:r w:rsidRPr="00EB77A6">
        <w:rPr>
          <w:rFonts w:asciiTheme="majorHAnsi" w:hAnsiTheme="majorHAnsi"/>
          <w:szCs w:val="24"/>
        </w:rPr>
        <w:t>investigating cases and outbreaks of infectious disease, evaluating data and case information,</w:t>
      </w:r>
      <w:r w:rsidR="00724367" w:rsidRPr="00EB77A6">
        <w:rPr>
          <w:rFonts w:asciiTheme="majorHAnsi" w:hAnsiTheme="majorHAnsi"/>
          <w:szCs w:val="24"/>
        </w:rPr>
        <w:t xml:space="preserve"> </w:t>
      </w:r>
      <w:r w:rsidRPr="00EB77A6">
        <w:rPr>
          <w:rFonts w:asciiTheme="majorHAnsi" w:hAnsiTheme="majorHAnsi"/>
          <w:szCs w:val="24"/>
        </w:rPr>
        <w:t>offering treatment in certain instances, and instituting measures to control epidemics.</w:t>
      </w:r>
    </w:p>
    <w:p w14:paraId="1E6AC6B8" w14:textId="77777777" w:rsidR="001D54C4" w:rsidRDefault="001D54C4" w:rsidP="00BE1E1D">
      <w:pPr>
        <w:rPr>
          <w:rFonts w:ascii="Arial" w:hAnsi="Arial" w:cs="Arial"/>
          <w:color w:val="000000"/>
          <w:sz w:val="24"/>
          <w:szCs w:val="24"/>
        </w:rPr>
      </w:pPr>
    </w:p>
    <w:p w14:paraId="0156385F" w14:textId="77777777" w:rsidR="001570AB" w:rsidRDefault="001570AB" w:rsidP="00BE1E1D">
      <w:pPr>
        <w:rPr>
          <w:rFonts w:ascii="Arial" w:hAnsi="Arial" w:cs="Arial"/>
          <w:color w:val="000000"/>
          <w:sz w:val="24"/>
          <w:szCs w:val="24"/>
        </w:rPr>
      </w:pPr>
    </w:p>
    <w:p w14:paraId="63BD4F7A" w14:textId="77777777" w:rsidR="008A5ADF" w:rsidRPr="00EB77A6" w:rsidRDefault="009C5967" w:rsidP="00053967">
      <w:pPr>
        <w:jc w:val="center"/>
        <w:rPr>
          <w:rFonts w:ascii="Arial" w:hAnsi="Arial" w:cs="Arial"/>
          <w:color w:val="000000"/>
          <w:sz w:val="24"/>
          <w:szCs w:val="24"/>
        </w:rPr>
      </w:pPr>
      <w:r>
        <w:rPr>
          <w:rFonts w:ascii="Arial" w:hAnsi="Arial" w:cs="Arial"/>
          <w:color w:val="000000"/>
          <w:sz w:val="24"/>
          <w:szCs w:val="24"/>
        </w:rPr>
        <w:t xml:space="preserve"># # </w:t>
      </w:r>
      <w:r w:rsidR="008A5ADF">
        <w:rPr>
          <w:rFonts w:ascii="Arial" w:hAnsi="Arial" w:cs="Arial"/>
          <w:color w:val="000000"/>
          <w:sz w:val="24"/>
          <w:szCs w:val="24"/>
        </w:rPr>
        <w:t>#</w:t>
      </w:r>
    </w:p>
    <w:sectPr w:rsidR="008A5ADF" w:rsidRPr="00EB77A6" w:rsidSect="005D27D0">
      <w:headerReference w:type="default" r:id="rId9"/>
      <w:footerReference w:type="default" r:id="rId10"/>
      <w:pgSz w:w="12240" w:h="15840" w:code="1"/>
      <w:pgMar w:top="1530" w:right="1008" w:bottom="360" w:left="1008" w:header="360" w:footer="3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2663" w14:textId="77777777" w:rsidR="008A5ADF" w:rsidRDefault="008A5ADF">
      <w:r>
        <w:separator/>
      </w:r>
    </w:p>
  </w:endnote>
  <w:endnote w:type="continuationSeparator" w:id="0">
    <w:p w14:paraId="32431067" w14:textId="77777777" w:rsidR="008A5ADF" w:rsidRDefault="008A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SemiBold">
    <w:altName w:val="Montserrat SemiBold"/>
    <w:charset w:val="00"/>
    <w:family w:val="auto"/>
    <w:pitch w:val="variable"/>
    <w:sig w:usb0="A00002FF" w:usb1="4000207B" w:usb2="00000000" w:usb3="00000000" w:csb0="00000197" w:csb1="00000000"/>
  </w:font>
  <w:font w:name="Montserrat Medium">
    <w:altName w:val="Calibri"/>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 w:name="Montserrat">
    <w:altName w:val="Calibri"/>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0C16" w14:textId="77777777" w:rsidR="008A5ADF" w:rsidRDefault="00773425">
    <w:pPr>
      <w:pStyle w:val="Footer"/>
    </w:pPr>
    <w:r>
      <w:rPr>
        <w:noProof/>
      </w:rPr>
      <mc:AlternateContent>
        <mc:Choice Requires="wps">
          <w:drawing>
            <wp:anchor distT="0" distB="0" distL="114300" distR="114300" simplePos="0" relativeHeight="251656192" behindDoc="0" locked="0" layoutInCell="0" allowOverlap="1" wp14:anchorId="436C6B84" wp14:editId="31658D4E">
              <wp:simplePos x="0" y="0"/>
              <wp:positionH relativeFrom="column">
                <wp:posOffset>0</wp:posOffset>
              </wp:positionH>
              <wp:positionV relativeFrom="paragraph">
                <wp:posOffset>72390</wp:posOffset>
              </wp:positionV>
              <wp:extent cx="6494145" cy="0"/>
              <wp:effectExtent l="9525" t="5715" r="1143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13801"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511.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3T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" o:allowincell="f"/>
          </w:pict>
        </mc:Fallback>
      </mc:AlternateContent>
    </w:r>
  </w:p>
  <w:p w14:paraId="72527D55" w14:textId="3F64AB1F" w:rsidR="001F5524" w:rsidRPr="005D27D0" w:rsidRDefault="001F5524" w:rsidP="001F5524">
    <w:pPr>
      <w:tabs>
        <w:tab w:val="center" w:pos="4680"/>
        <w:tab w:val="right" w:pos="9360"/>
      </w:tabs>
      <w:jc w:val="right"/>
      <w:rPr>
        <w:rFonts w:ascii="Montserrat" w:eastAsiaTheme="minorEastAsia" w:hAnsi="Montserrat"/>
        <w:sz w:val="22"/>
        <w:szCs w:val="22"/>
      </w:rPr>
    </w:pPr>
    <w:r w:rsidRPr="005D27D0">
      <w:rPr>
        <w:rFonts w:ascii="Montserrat" w:eastAsiaTheme="minorEastAsia" w:hAnsi="Montserrat"/>
        <w:sz w:val="22"/>
        <w:szCs w:val="22"/>
      </w:rPr>
      <w:t xml:space="preserve">P.O. Box 13276 </w:t>
    </w:r>
    <w:r w:rsidRPr="005D27D0">
      <w:rPr>
        <w:rFonts w:eastAsiaTheme="minorEastAsia"/>
        <w:sz w:val="22"/>
        <w:szCs w:val="22"/>
      </w:rPr>
      <w:t>│</w:t>
    </w:r>
    <w:r w:rsidRPr="005D27D0">
      <w:rPr>
        <w:rFonts w:ascii="Montserrat" w:eastAsiaTheme="minorEastAsia" w:hAnsi="Montserrat"/>
        <w:sz w:val="22"/>
        <w:szCs w:val="22"/>
      </w:rPr>
      <w:t xml:space="preserve"> Lansing, Michigan</w:t>
    </w:r>
    <w:r w:rsidR="00F25D39" w:rsidRPr="005D27D0">
      <w:rPr>
        <w:rFonts w:ascii="Montserrat" w:eastAsiaTheme="minorEastAsia" w:hAnsi="Montserrat"/>
        <w:sz w:val="22"/>
        <w:szCs w:val="22"/>
      </w:rPr>
      <w:t>,</w:t>
    </w:r>
    <w:r w:rsidRPr="005D27D0">
      <w:rPr>
        <w:rFonts w:ascii="Montserrat" w:eastAsiaTheme="minorEastAsia" w:hAnsi="Montserrat"/>
        <w:sz w:val="22"/>
        <w:szCs w:val="22"/>
      </w:rPr>
      <w:t xml:space="preserve"> 48901 </w:t>
    </w:r>
    <w:r w:rsidRPr="005D27D0">
      <w:rPr>
        <w:rFonts w:eastAsiaTheme="minorEastAsia"/>
        <w:sz w:val="22"/>
        <w:szCs w:val="22"/>
      </w:rPr>
      <w:t>│</w:t>
    </w:r>
    <w:r w:rsidRPr="005D27D0">
      <w:rPr>
        <w:rFonts w:ascii="Montserrat" w:eastAsiaTheme="minorEastAsia" w:hAnsi="Montserrat"/>
        <w:sz w:val="22"/>
        <w:szCs w:val="22"/>
      </w:rPr>
      <w:t xml:space="preserve"> [p]: 517.485.0660</w:t>
    </w:r>
  </w:p>
  <w:p w14:paraId="619F21CF" w14:textId="39E29A73" w:rsidR="001F5524" w:rsidRPr="005D27D0" w:rsidRDefault="005D27D0" w:rsidP="001F5524">
    <w:pPr>
      <w:tabs>
        <w:tab w:val="center" w:pos="4680"/>
        <w:tab w:val="right" w:pos="9360"/>
      </w:tabs>
      <w:jc w:val="right"/>
      <w:rPr>
        <w:rFonts w:ascii="Montserrat" w:eastAsiaTheme="minorEastAsia" w:hAnsi="Montserrat"/>
        <w:sz w:val="22"/>
        <w:szCs w:val="22"/>
      </w:rPr>
    </w:pPr>
    <w:r w:rsidRPr="005D27D0">
      <w:rPr>
        <w:rFonts w:ascii="Montserrat" w:eastAsiaTheme="minorEastAsia" w:hAnsi="Montserrat"/>
        <w:sz w:val="22"/>
        <w:szCs w:val="22"/>
      </w:rPr>
      <w:t>www.malph.org</w:t>
    </w:r>
  </w:p>
  <w:p w14:paraId="30E0ECD3" w14:textId="77777777" w:rsidR="001F5524" w:rsidRPr="001F5524" w:rsidRDefault="001F5524" w:rsidP="001F5524">
    <w:pPr>
      <w:tabs>
        <w:tab w:val="center" w:pos="4680"/>
        <w:tab w:val="right" w:pos="9360"/>
      </w:tabs>
      <w:jc w:val="right"/>
      <w:rPr>
        <w:rFonts w:eastAsiaTheme="minorEastAsia"/>
      </w:rPr>
    </w:pPr>
  </w:p>
  <w:p w14:paraId="3FEA2056" w14:textId="77777777" w:rsidR="008A5ADF" w:rsidRDefault="008A5ADF" w:rsidP="001F552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64BAC" w14:textId="77777777" w:rsidR="008A5ADF" w:rsidRDefault="008A5ADF">
      <w:r>
        <w:separator/>
      </w:r>
    </w:p>
  </w:footnote>
  <w:footnote w:type="continuationSeparator" w:id="0">
    <w:p w14:paraId="19B03FD7" w14:textId="77777777" w:rsidR="008A5ADF" w:rsidRDefault="008A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6517" w14:textId="77777777" w:rsidR="008A5ADF" w:rsidRDefault="008A5ADF" w:rsidP="0075250F">
    <w:pPr>
      <w:pStyle w:val="Header"/>
    </w:pPr>
  </w:p>
  <w:p w14:paraId="0900E4FF" w14:textId="77777777" w:rsidR="008A5ADF" w:rsidRDefault="008A5ADF" w:rsidP="0075250F">
    <w:pPr>
      <w:ind w:left="90"/>
    </w:pPr>
  </w:p>
  <w:p w14:paraId="025DC29D" w14:textId="77777777" w:rsidR="008A5ADF" w:rsidRDefault="008A5ADF" w:rsidP="00BC1D9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lvlText w:val="%1"/>
      <w:lvlJc w:val="left"/>
    </w:lvl>
    <w:lvl w:ilvl="1">
      <w:start w:val="1"/>
      <w:numFmt w:val="upperLetter"/>
      <w:pStyle w:val="Level2"/>
      <w:lvlText w:val="%2."/>
      <w:lvlJc w:val="left"/>
      <w:pPr>
        <w:tabs>
          <w:tab w:val="num" w:pos="630"/>
        </w:tabs>
        <w:ind w:left="630" w:hanging="630"/>
      </w:pPr>
      <w:rPr>
        <w:rFonts w:ascii="Times New Roman" w:hAnsi="Times New Roman" w:cs="Times New Roman"/>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3649E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2B5DDA"/>
    <w:multiLevelType w:val="hybridMultilevel"/>
    <w:tmpl w:val="69D0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6E6BD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8896733"/>
    <w:multiLevelType w:val="hybridMultilevel"/>
    <w:tmpl w:val="DE04C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A41D59"/>
    <w:multiLevelType w:val="hybridMultilevel"/>
    <w:tmpl w:val="6B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A4D7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35D69A4"/>
    <w:multiLevelType w:val="hybridMultilevel"/>
    <w:tmpl w:val="CBDC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06824"/>
    <w:multiLevelType w:val="hybridMultilevel"/>
    <w:tmpl w:val="DB6E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43306"/>
    <w:multiLevelType w:val="multilevel"/>
    <w:tmpl w:val="39E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0453A"/>
    <w:multiLevelType w:val="hybridMultilevel"/>
    <w:tmpl w:val="F8F0D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05B94"/>
    <w:multiLevelType w:val="hybridMultilevel"/>
    <w:tmpl w:val="21AC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15737">
    <w:abstractNumId w:val="3"/>
  </w:num>
  <w:num w:numId="2" w16cid:durableId="57095596">
    <w:abstractNumId w:val="1"/>
  </w:num>
  <w:num w:numId="3" w16cid:durableId="1417626104">
    <w:abstractNumId w:val="6"/>
  </w:num>
  <w:num w:numId="4" w16cid:durableId="1568032526">
    <w:abstractNumId w:val="0"/>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147313832">
    <w:abstractNumId w:val="9"/>
  </w:num>
  <w:num w:numId="6" w16cid:durableId="578636678">
    <w:abstractNumId w:val="10"/>
  </w:num>
  <w:num w:numId="7" w16cid:durableId="434443303">
    <w:abstractNumId w:val="4"/>
  </w:num>
  <w:num w:numId="8" w16cid:durableId="1828589380">
    <w:abstractNumId w:val="2"/>
  </w:num>
  <w:num w:numId="9" w16cid:durableId="254363241">
    <w:abstractNumId w:val="11"/>
  </w:num>
  <w:num w:numId="10" w16cid:durableId="298844740">
    <w:abstractNumId w:val="7"/>
  </w:num>
  <w:num w:numId="11" w16cid:durableId="397049179">
    <w:abstractNumId w:val="5"/>
  </w:num>
  <w:num w:numId="12" w16cid:durableId="1974291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CC"/>
    <w:rsid w:val="000107C2"/>
    <w:rsid w:val="00013214"/>
    <w:rsid w:val="00017DA6"/>
    <w:rsid w:val="0002014E"/>
    <w:rsid w:val="00053967"/>
    <w:rsid w:val="000664E8"/>
    <w:rsid w:val="00072DDA"/>
    <w:rsid w:val="000A114E"/>
    <w:rsid w:val="000A159F"/>
    <w:rsid w:val="000D012F"/>
    <w:rsid w:val="000E52D5"/>
    <w:rsid w:val="00105E43"/>
    <w:rsid w:val="00154CE1"/>
    <w:rsid w:val="001570AB"/>
    <w:rsid w:val="00193B3F"/>
    <w:rsid w:val="001B5CB5"/>
    <w:rsid w:val="001D54C4"/>
    <w:rsid w:val="001E718C"/>
    <w:rsid w:val="001F2E02"/>
    <w:rsid w:val="001F5524"/>
    <w:rsid w:val="0020525E"/>
    <w:rsid w:val="00205329"/>
    <w:rsid w:val="00214770"/>
    <w:rsid w:val="00225F13"/>
    <w:rsid w:val="00231107"/>
    <w:rsid w:val="00257282"/>
    <w:rsid w:val="002933C2"/>
    <w:rsid w:val="002A291D"/>
    <w:rsid w:val="002E1CCC"/>
    <w:rsid w:val="0030409B"/>
    <w:rsid w:val="00374C4B"/>
    <w:rsid w:val="003932B8"/>
    <w:rsid w:val="003A1821"/>
    <w:rsid w:val="003B4070"/>
    <w:rsid w:val="003B6CBA"/>
    <w:rsid w:val="003C0AFA"/>
    <w:rsid w:val="003D7AD5"/>
    <w:rsid w:val="003E0E83"/>
    <w:rsid w:val="003E44D5"/>
    <w:rsid w:val="004075DD"/>
    <w:rsid w:val="0042293D"/>
    <w:rsid w:val="00456470"/>
    <w:rsid w:val="004F06DD"/>
    <w:rsid w:val="00524723"/>
    <w:rsid w:val="00527FEB"/>
    <w:rsid w:val="00581862"/>
    <w:rsid w:val="00590287"/>
    <w:rsid w:val="005B7F8B"/>
    <w:rsid w:val="005D27D0"/>
    <w:rsid w:val="005F0888"/>
    <w:rsid w:val="00626E2A"/>
    <w:rsid w:val="006404A6"/>
    <w:rsid w:val="006417E7"/>
    <w:rsid w:val="00684019"/>
    <w:rsid w:val="0069406E"/>
    <w:rsid w:val="006A03FC"/>
    <w:rsid w:val="006E1A35"/>
    <w:rsid w:val="00701699"/>
    <w:rsid w:val="00703494"/>
    <w:rsid w:val="00724367"/>
    <w:rsid w:val="0075250F"/>
    <w:rsid w:val="007541B2"/>
    <w:rsid w:val="00773425"/>
    <w:rsid w:val="007A2715"/>
    <w:rsid w:val="007B35FE"/>
    <w:rsid w:val="008116B3"/>
    <w:rsid w:val="00835071"/>
    <w:rsid w:val="00837E2B"/>
    <w:rsid w:val="00844036"/>
    <w:rsid w:val="00847551"/>
    <w:rsid w:val="0085357C"/>
    <w:rsid w:val="008705AA"/>
    <w:rsid w:val="008A5ADF"/>
    <w:rsid w:val="008D067B"/>
    <w:rsid w:val="00915BA3"/>
    <w:rsid w:val="009619D1"/>
    <w:rsid w:val="009724AE"/>
    <w:rsid w:val="00974B71"/>
    <w:rsid w:val="00997AA8"/>
    <w:rsid w:val="009A5754"/>
    <w:rsid w:val="009C5967"/>
    <w:rsid w:val="00A032B7"/>
    <w:rsid w:val="00A36875"/>
    <w:rsid w:val="00A42137"/>
    <w:rsid w:val="00AE11DF"/>
    <w:rsid w:val="00AF799A"/>
    <w:rsid w:val="00B21A4E"/>
    <w:rsid w:val="00B343EB"/>
    <w:rsid w:val="00B43101"/>
    <w:rsid w:val="00B47EC7"/>
    <w:rsid w:val="00B6587F"/>
    <w:rsid w:val="00B94BB3"/>
    <w:rsid w:val="00BC1D91"/>
    <w:rsid w:val="00BD723D"/>
    <w:rsid w:val="00BE0B47"/>
    <w:rsid w:val="00BE1E1D"/>
    <w:rsid w:val="00C02322"/>
    <w:rsid w:val="00C231AC"/>
    <w:rsid w:val="00C237CC"/>
    <w:rsid w:val="00C50E7D"/>
    <w:rsid w:val="00C76CC3"/>
    <w:rsid w:val="00C77BBB"/>
    <w:rsid w:val="00C80A0A"/>
    <w:rsid w:val="00C82932"/>
    <w:rsid w:val="00CA54AD"/>
    <w:rsid w:val="00CB104A"/>
    <w:rsid w:val="00CF3A33"/>
    <w:rsid w:val="00CF76D1"/>
    <w:rsid w:val="00D32653"/>
    <w:rsid w:val="00D32FDE"/>
    <w:rsid w:val="00D45FF0"/>
    <w:rsid w:val="00D91F6F"/>
    <w:rsid w:val="00DA3B36"/>
    <w:rsid w:val="00DE41C6"/>
    <w:rsid w:val="00DE5199"/>
    <w:rsid w:val="00DF5033"/>
    <w:rsid w:val="00E53269"/>
    <w:rsid w:val="00E56623"/>
    <w:rsid w:val="00E7385B"/>
    <w:rsid w:val="00E90733"/>
    <w:rsid w:val="00EB4FFB"/>
    <w:rsid w:val="00EB77A6"/>
    <w:rsid w:val="00ED6F4D"/>
    <w:rsid w:val="00F2006C"/>
    <w:rsid w:val="00F25D39"/>
    <w:rsid w:val="00F33003"/>
    <w:rsid w:val="00F87857"/>
    <w:rsid w:val="00FA2243"/>
    <w:rsid w:val="00FC306B"/>
    <w:rsid w:val="00FF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490525"/>
  <w15:docId w15:val="{55B94DD1-EF80-4EB6-88B2-125F3DBB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AFA"/>
  </w:style>
  <w:style w:type="paragraph" w:styleId="Heading1">
    <w:name w:val="heading 1"/>
    <w:basedOn w:val="Normal"/>
    <w:next w:val="Normal"/>
    <w:qFormat/>
    <w:rsid w:val="00072DDA"/>
    <w:pPr>
      <w:widowControl w:val="0"/>
      <w:autoSpaceDE w:val="0"/>
      <w:autoSpaceDN w:val="0"/>
      <w:adjustRightInd w:val="0"/>
      <w:jc w:val="center"/>
      <w:outlineLvl w:val="0"/>
    </w:pPr>
    <w:rPr>
      <w:b/>
      <w:bCs/>
      <w:sz w:val="24"/>
      <w:szCs w:val="24"/>
    </w:rPr>
  </w:style>
  <w:style w:type="paragraph" w:styleId="Heading2">
    <w:name w:val="heading 2"/>
    <w:basedOn w:val="Normal"/>
    <w:next w:val="Normal"/>
    <w:qFormat/>
    <w:rsid w:val="00072DDA"/>
    <w:pPr>
      <w:widowControl w:val="0"/>
      <w:autoSpaceDE w:val="0"/>
      <w:autoSpaceDN w:val="0"/>
      <w:adjustRightInd w:val="0"/>
      <w:jc w:val="center"/>
      <w:outlineLvl w:val="1"/>
    </w:pPr>
    <w:rPr>
      <w:b/>
      <w:bCs/>
      <w:i/>
      <w:iCs/>
      <w:sz w:val="24"/>
      <w:szCs w:val="24"/>
    </w:rPr>
  </w:style>
  <w:style w:type="paragraph" w:styleId="Heading3">
    <w:name w:val="heading 3"/>
    <w:basedOn w:val="Normal"/>
    <w:next w:val="Normal"/>
    <w:qFormat/>
    <w:rsid w:val="00072DDA"/>
    <w:pPr>
      <w:widowControl w:val="0"/>
      <w:autoSpaceDE w:val="0"/>
      <w:autoSpaceDN w:val="0"/>
      <w:adjustRightInd w:val="0"/>
      <w:jc w:val="both"/>
      <w:outlineLvl w:val="2"/>
    </w:pPr>
    <w:rPr>
      <w:b/>
      <w:bCs/>
      <w:sz w:val="24"/>
      <w:szCs w:val="24"/>
    </w:rPr>
  </w:style>
  <w:style w:type="paragraph" w:styleId="Heading4">
    <w:name w:val="heading 4"/>
    <w:basedOn w:val="Normal"/>
    <w:next w:val="Normal"/>
    <w:qFormat/>
    <w:rsid w:val="00072DDA"/>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0AFA"/>
    <w:rPr>
      <w:color w:val="0000FF"/>
      <w:u w:val="single"/>
    </w:rPr>
  </w:style>
  <w:style w:type="paragraph" w:styleId="Header">
    <w:name w:val="header"/>
    <w:basedOn w:val="Normal"/>
    <w:rsid w:val="003C0AFA"/>
    <w:pPr>
      <w:tabs>
        <w:tab w:val="center" w:pos="4320"/>
        <w:tab w:val="right" w:pos="8640"/>
      </w:tabs>
    </w:pPr>
  </w:style>
  <w:style w:type="paragraph" w:styleId="Footer">
    <w:name w:val="footer"/>
    <w:basedOn w:val="Normal"/>
    <w:rsid w:val="003C0AFA"/>
    <w:pPr>
      <w:tabs>
        <w:tab w:val="center" w:pos="4320"/>
        <w:tab w:val="right" w:pos="8640"/>
      </w:tabs>
    </w:pPr>
  </w:style>
  <w:style w:type="paragraph" w:styleId="DocumentMap">
    <w:name w:val="Document Map"/>
    <w:basedOn w:val="Normal"/>
    <w:semiHidden/>
    <w:rsid w:val="003C0AFA"/>
    <w:pPr>
      <w:shd w:val="clear" w:color="auto" w:fill="000080"/>
    </w:pPr>
    <w:rPr>
      <w:rFonts w:ascii="Tahoma" w:hAnsi="Tahoma"/>
    </w:rPr>
  </w:style>
  <w:style w:type="paragraph" w:customStyle="1" w:styleId="Level1">
    <w:name w:val="Level 1"/>
    <w:basedOn w:val="Normal"/>
    <w:rsid w:val="00072DDA"/>
    <w:pPr>
      <w:widowControl w:val="0"/>
      <w:autoSpaceDE w:val="0"/>
      <w:autoSpaceDN w:val="0"/>
      <w:adjustRightInd w:val="0"/>
      <w:ind w:left="1080" w:hanging="360"/>
    </w:pPr>
    <w:rPr>
      <w:szCs w:val="24"/>
    </w:rPr>
  </w:style>
  <w:style w:type="paragraph" w:customStyle="1" w:styleId="Level2">
    <w:name w:val="Level 2"/>
    <w:basedOn w:val="Normal"/>
    <w:rsid w:val="00072DDA"/>
    <w:pPr>
      <w:widowControl w:val="0"/>
      <w:numPr>
        <w:ilvl w:val="1"/>
        <w:numId w:val="4"/>
      </w:numPr>
      <w:autoSpaceDE w:val="0"/>
      <w:autoSpaceDN w:val="0"/>
      <w:adjustRightInd w:val="0"/>
      <w:ind w:left="630" w:hanging="630"/>
      <w:outlineLvl w:val="1"/>
    </w:pPr>
    <w:rPr>
      <w:szCs w:val="24"/>
    </w:rPr>
  </w:style>
  <w:style w:type="paragraph" w:styleId="ListParagraph">
    <w:name w:val="List Paragraph"/>
    <w:basedOn w:val="Normal"/>
    <w:uiPriority w:val="34"/>
    <w:qFormat/>
    <w:rsid w:val="00B6587F"/>
    <w:pPr>
      <w:ind w:left="720"/>
      <w:contextualSpacing/>
    </w:pPr>
    <w:rPr>
      <w:b/>
      <w:sz w:val="24"/>
      <w:szCs w:val="24"/>
    </w:rPr>
  </w:style>
  <w:style w:type="table" w:styleId="TableGrid">
    <w:name w:val="Table Grid"/>
    <w:basedOn w:val="TableNormal"/>
    <w:rsid w:val="00AF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54C4"/>
    <w:rPr>
      <w:rFonts w:ascii="Arial" w:eastAsiaTheme="minorHAnsi" w:hAnsi="Arial" w:cstheme="minorBidi"/>
      <w:sz w:val="24"/>
      <w:szCs w:val="22"/>
    </w:rPr>
  </w:style>
  <w:style w:type="character" w:styleId="UnresolvedMention">
    <w:name w:val="Unresolved Mention"/>
    <w:basedOn w:val="DefaultParagraphFont"/>
    <w:uiPriority w:val="99"/>
    <w:semiHidden/>
    <w:unhideWhenUsed/>
    <w:rsid w:val="005D2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6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674C8-E923-4C0A-8900-39570ECF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3634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www</vt:lpstr>
    </vt:vector>
  </TitlesOfParts>
  <Company>MALPH</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Carol</dc:creator>
  <cp:lastModifiedBy>Jodie Shaver</cp:lastModifiedBy>
  <cp:revision>2</cp:revision>
  <cp:lastPrinted>2023-03-21T19:56:00Z</cp:lastPrinted>
  <dcterms:created xsi:type="dcterms:W3CDTF">2023-03-21T20:19:00Z</dcterms:created>
  <dcterms:modified xsi:type="dcterms:W3CDTF">2023-03-21T20:19:00Z</dcterms:modified>
</cp:coreProperties>
</file>