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C336C" w14:textId="77777777" w:rsidR="00AC3CF1" w:rsidRPr="00AC3CF1" w:rsidRDefault="00AC3CF1" w:rsidP="00AC3CF1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AC3CF1">
        <w:rPr>
          <w:b/>
          <w:sz w:val="24"/>
          <w:szCs w:val="24"/>
        </w:rPr>
        <w:t>Public Health Response Goals</w:t>
      </w:r>
    </w:p>
    <w:p w14:paraId="344D73FA" w14:textId="77777777" w:rsidR="00AC3CF1" w:rsidRPr="006A0B37" w:rsidRDefault="00AC3CF1" w:rsidP="00AC3CF1">
      <w:pPr>
        <w:spacing w:after="0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 xml:space="preserve"> In EGLE Designated Lead (Pb) Action Level Exceedance Communities</w:t>
      </w:r>
      <w:r w:rsidRPr="006A0B37">
        <w:rPr>
          <w:sz w:val="24"/>
          <w:szCs w:val="24"/>
        </w:rPr>
        <w:t>:</w:t>
      </w:r>
    </w:p>
    <w:p w14:paraId="1A670B13" w14:textId="77777777" w:rsidR="00AC3CF1" w:rsidRPr="006A0B37" w:rsidRDefault="00AC3CF1" w:rsidP="00AC3CF1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6A0B37">
        <w:rPr>
          <w:rFonts w:eastAsia="Times New Roman" w:cstheme="minorHAnsi"/>
          <w:sz w:val="24"/>
          <w:szCs w:val="24"/>
        </w:rPr>
        <w:t xml:space="preserve">Communicate the potential health risk to residents when there is an ALE. </w:t>
      </w:r>
    </w:p>
    <w:p w14:paraId="7E2095CA" w14:textId="77777777" w:rsidR="00AC3CF1" w:rsidRPr="006A0B37" w:rsidRDefault="00AC3CF1" w:rsidP="00AC3CF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6A0B37">
        <w:rPr>
          <w:rFonts w:asciiTheme="minorHAnsi" w:eastAsia="Times New Roman" w:hAnsiTheme="minorHAnsi" w:cstheme="minorHAnsi"/>
          <w:sz w:val="24"/>
          <w:szCs w:val="24"/>
        </w:rPr>
        <w:t>Provide education and resources on how to minimize or stop a residents’ lead exposure.</w:t>
      </w:r>
    </w:p>
    <w:p w14:paraId="431F67EF" w14:textId="77777777" w:rsidR="00AC3CF1" w:rsidRPr="006A0B37" w:rsidRDefault="00AC3CF1" w:rsidP="00AC3CF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6A0B37">
        <w:rPr>
          <w:rFonts w:asciiTheme="minorHAnsi" w:eastAsia="Times New Roman" w:hAnsiTheme="minorHAnsi" w:cstheme="minorHAnsi"/>
          <w:sz w:val="24"/>
          <w:szCs w:val="24"/>
        </w:rPr>
        <w:t xml:space="preserve">Investigate in-home lead </w:t>
      </w:r>
      <w:r w:rsidRPr="006A0B37">
        <w:rPr>
          <w:rFonts w:eastAsia="Times New Roman" w:cstheme="minorHAnsi"/>
          <w:sz w:val="24"/>
          <w:szCs w:val="24"/>
        </w:rPr>
        <w:t>sources using analytical methods and best available science when the drinking water exceeds the action level (15 ppb).</w:t>
      </w:r>
    </w:p>
    <w:p w14:paraId="26E317EA" w14:textId="77777777" w:rsidR="00AC3CF1" w:rsidRPr="006A0B37" w:rsidRDefault="00AC3CF1" w:rsidP="00AC3CF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6A0B37">
        <w:rPr>
          <w:rFonts w:asciiTheme="minorHAnsi" w:eastAsia="Times New Roman" w:hAnsiTheme="minorHAnsi" w:cstheme="minorHAnsi"/>
          <w:sz w:val="24"/>
          <w:szCs w:val="24"/>
        </w:rPr>
        <w:t xml:space="preserve">Eliminate continued or additional lead exposures, focusing on most vulnerable populations (i.e., pregnant women and children). </w:t>
      </w:r>
    </w:p>
    <w:p w14:paraId="7119288C" w14:textId="77777777" w:rsidR="00AC3CF1" w:rsidRDefault="00AC3CF1" w:rsidP="00AC3CF1">
      <w:pPr>
        <w:rPr>
          <w:b/>
          <w:sz w:val="24"/>
          <w:szCs w:val="24"/>
        </w:rPr>
      </w:pPr>
    </w:p>
    <w:p w14:paraId="6D357A11" w14:textId="77777777" w:rsidR="00AC3CF1" w:rsidRPr="006A0B37" w:rsidRDefault="00AC3CF1" w:rsidP="00AC3C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Health </w:t>
      </w:r>
      <w:r w:rsidRPr="006A0B37">
        <w:rPr>
          <w:b/>
          <w:sz w:val="24"/>
          <w:szCs w:val="24"/>
        </w:rPr>
        <w:t>Activity Descriptions</w:t>
      </w:r>
    </w:p>
    <w:p w14:paraId="3798DE14" w14:textId="77777777" w:rsidR="00AC3CF1" w:rsidRPr="006A0B37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 xml:space="preserve">Conduct a </w:t>
      </w:r>
      <w:r>
        <w:rPr>
          <w:sz w:val="24"/>
          <w:szCs w:val="24"/>
        </w:rPr>
        <w:t xml:space="preserve">public health </w:t>
      </w:r>
      <w:r w:rsidRPr="006A0B37">
        <w:rPr>
          <w:sz w:val="24"/>
          <w:szCs w:val="24"/>
        </w:rPr>
        <w:t xml:space="preserve">awareness campaign in ALE community, providing on-site technical support at community meetings. </w:t>
      </w:r>
    </w:p>
    <w:p w14:paraId="7E8C8180" w14:textId="77777777" w:rsidR="00AC3CF1" w:rsidRPr="006A0B37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Provide filters to households with low-income children and pregnant women</w:t>
      </w:r>
      <w:r w:rsidRPr="006A0B37">
        <w:rPr>
          <w:rFonts w:eastAsia="Times New Roman"/>
          <w:sz w:val="24"/>
          <w:szCs w:val="24"/>
        </w:rPr>
        <w:t xml:space="preserve"> facing high-risk of EBLLs in ALE community, if local capacity for response has been exceeded.</w:t>
      </w:r>
      <w:r>
        <w:rPr>
          <w:rFonts w:eastAsia="Times New Roman"/>
          <w:sz w:val="24"/>
          <w:szCs w:val="24"/>
        </w:rPr>
        <w:t xml:space="preserve"> </w:t>
      </w:r>
    </w:p>
    <w:p w14:paraId="6F50FC57" w14:textId="77777777" w:rsidR="00AC3CF1" w:rsidRPr="006A0B37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Coordinate with WIC to allow for coverage of ready-to-eat formula in ALE communities.</w:t>
      </w:r>
    </w:p>
    <w:p w14:paraId="10ED84BA" w14:textId="77777777" w:rsidR="00AC3CF1" w:rsidRPr="006A0B37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Rely on local public health and health care community to conduct blood lead screening in ALE communities.</w:t>
      </w:r>
    </w:p>
    <w:p w14:paraId="03099570" w14:textId="77777777" w:rsidR="00AC3CF1" w:rsidRPr="006A0B37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 xml:space="preserve">Provide education packets and referral materials for homes with positive lead water results. </w:t>
      </w:r>
    </w:p>
    <w:p w14:paraId="21B69034" w14:textId="77777777" w:rsidR="00AC3CF1" w:rsidRPr="006A0B37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Investigations of homes with ≥15 ppb ranked from highest to lowest drinking water for in-home component of investigation (when needed), screening of home for multiple EBLL risk factors, leveraging local public health for sample collection and state labs for sample analysis</w:t>
      </w:r>
      <w:r>
        <w:rPr>
          <w:sz w:val="24"/>
          <w:szCs w:val="24"/>
        </w:rPr>
        <w:t>.</w:t>
      </w:r>
      <w:r w:rsidRPr="006A0B37">
        <w:rPr>
          <w:sz w:val="24"/>
          <w:szCs w:val="24"/>
        </w:rPr>
        <w:t xml:space="preserve"> Public health investigation will allow:</w:t>
      </w:r>
    </w:p>
    <w:p w14:paraId="73C6DC4D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rFonts w:eastAsia="Times New Roman"/>
          <w:sz w:val="24"/>
          <w:szCs w:val="24"/>
        </w:rPr>
      </w:pPr>
      <w:r w:rsidRPr="006A0B37">
        <w:rPr>
          <w:rFonts w:eastAsia="Times New Roman"/>
          <w:sz w:val="24"/>
          <w:szCs w:val="24"/>
        </w:rPr>
        <w:t>Evidence-based recommended lead-reducing flushing times for an ALE community.</w:t>
      </w:r>
    </w:p>
    <w:p w14:paraId="2EFE7CC5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B37">
        <w:rPr>
          <w:rFonts w:eastAsia="Times New Roman"/>
          <w:sz w:val="24"/>
          <w:szCs w:val="24"/>
        </w:rPr>
        <w:t>Identification of lead sources in homes to provide actionable recommendations for homeowner and municipality.</w:t>
      </w:r>
    </w:p>
    <w:p w14:paraId="740562B6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As appropriate for the family, referral to available income-based resources.</w:t>
      </w:r>
    </w:p>
    <w:p w14:paraId="0DA8D575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Proper filter training and installation of filter for low-income families requesting assistance.</w:t>
      </w:r>
    </w:p>
    <w:p w14:paraId="2111AE5D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Proper filter training for families purchasing their own filters.</w:t>
      </w:r>
    </w:p>
    <w:p w14:paraId="3E5AFCDA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Identification and proper communication of all in-home lead hazards.</w:t>
      </w:r>
    </w:p>
    <w:p w14:paraId="43A31395" w14:textId="77777777" w:rsidR="00AC3CF1" w:rsidRPr="006A0B37" w:rsidRDefault="00AC3CF1" w:rsidP="00AC3CF1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6A0B37">
        <w:rPr>
          <w:sz w:val="24"/>
          <w:szCs w:val="24"/>
        </w:rPr>
        <w:t xml:space="preserve">raining and education to affected families to allow effective personal choice exposure controls. </w:t>
      </w:r>
    </w:p>
    <w:p w14:paraId="6233138B" w14:textId="4A40836C" w:rsidR="00FA2FCE" w:rsidRDefault="00AC3CF1" w:rsidP="00AC3C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A0B37">
        <w:rPr>
          <w:sz w:val="24"/>
          <w:szCs w:val="24"/>
        </w:rPr>
        <w:t>For the most vulnerable populations, using a multi-factor approach and considerations, MDHHS will provide prevention-focused lead-abatement home services for families with a child or pregnant women enrolled in Medicaid.</w:t>
      </w:r>
    </w:p>
    <w:p w14:paraId="27FEA206" w14:textId="77777777" w:rsidR="00FA2FCE" w:rsidRDefault="00FA2FCE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br w:type="page"/>
      </w:r>
    </w:p>
    <w:p w14:paraId="2BE9FA9F" w14:textId="05C8AAEE" w:rsidR="00AC3CF1" w:rsidRPr="006A0B37" w:rsidRDefault="00FA2FCE" w:rsidP="00FA2FCE">
      <w:pPr>
        <w:pStyle w:val="ListParagraph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9D562AD" wp14:editId="5C997274">
            <wp:extent cx="5939790" cy="63055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CF1" w:rsidRPr="006A0B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825C4" w14:textId="77777777" w:rsidR="00AC3CF1" w:rsidRDefault="00AC3CF1" w:rsidP="00AC3CF1">
      <w:pPr>
        <w:spacing w:after="0" w:line="240" w:lineRule="auto"/>
      </w:pPr>
      <w:r>
        <w:separator/>
      </w:r>
    </w:p>
  </w:endnote>
  <w:endnote w:type="continuationSeparator" w:id="0">
    <w:p w14:paraId="49021338" w14:textId="77777777" w:rsidR="00AC3CF1" w:rsidRDefault="00AC3CF1" w:rsidP="00AC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DC07" w14:textId="77777777" w:rsidR="00AC3CF1" w:rsidRDefault="00AC3CF1" w:rsidP="00AC3CF1">
      <w:pPr>
        <w:spacing w:after="0" w:line="240" w:lineRule="auto"/>
      </w:pPr>
      <w:r>
        <w:separator/>
      </w:r>
    </w:p>
  </w:footnote>
  <w:footnote w:type="continuationSeparator" w:id="0">
    <w:p w14:paraId="262733D4" w14:textId="77777777" w:rsidR="00AC3CF1" w:rsidRDefault="00AC3CF1" w:rsidP="00AC3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D07B1" w14:textId="77777777" w:rsidR="00AC3CF1" w:rsidRDefault="00AC3CF1" w:rsidP="00AC3CF1">
    <w:pPr>
      <w:pStyle w:val="Header"/>
      <w:jc w:val="center"/>
      <w:rPr>
        <w:b/>
      </w:rPr>
    </w:pPr>
    <w:r w:rsidRPr="00AC3CF1">
      <w:rPr>
        <w:b/>
      </w:rPr>
      <w:t>DRAFT – Do Not Cite or Quote – DRAFT</w:t>
    </w:r>
  </w:p>
  <w:p w14:paraId="3DFCF87A" w14:textId="77777777" w:rsidR="00AC3CF1" w:rsidRPr="00AC3CF1" w:rsidRDefault="00AC3CF1" w:rsidP="00AC3CF1">
    <w:pPr>
      <w:pStyle w:val="Header"/>
      <w:jc w:val="center"/>
      <w:rPr>
        <w:b/>
      </w:rPr>
    </w:pPr>
    <w:r>
      <w:rPr>
        <w:b/>
      </w:rPr>
      <w:t>Handout for 6.10.2019 MALPH Meeting</w:t>
    </w:r>
  </w:p>
  <w:p w14:paraId="2CD53EBB" w14:textId="77777777" w:rsidR="00AC3CF1" w:rsidRDefault="00AC3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6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42B2E25"/>
    <w:multiLevelType w:val="hybridMultilevel"/>
    <w:tmpl w:val="011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F1"/>
    <w:rsid w:val="002E33CA"/>
    <w:rsid w:val="008E592E"/>
    <w:rsid w:val="00A273D7"/>
    <w:rsid w:val="00AC1573"/>
    <w:rsid w:val="00AC3CF1"/>
    <w:rsid w:val="00AF5E10"/>
    <w:rsid w:val="00FA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AB7C"/>
  <w15:chartTrackingRefBased/>
  <w15:docId w15:val="{967074DB-D775-4FAD-B099-AC8EA065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CF1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F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C3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F1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AC3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F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</dc:creator>
  <cp:keywords/>
  <dc:description/>
  <cp:lastModifiedBy>Jodie Shaver</cp:lastModifiedBy>
  <cp:revision>2</cp:revision>
  <dcterms:created xsi:type="dcterms:W3CDTF">2019-06-20T12:44:00Z</dcterms:created>
  <dcterms:modified xsi:type="dcterms:W3CDTF">2019-06-20T12:44:00Z</dcterms:modified>
</cp:coreProperties>
</file>