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B0E" w:rsidRDefault="00903461" w:rsidP="00B71B0E">
      <w:pPr>
        <w:widowControl w:val="0"/>
        <w:jc w:val="both"/>
        <w:rPr>
          <w:rFonts w:ascii="Courier 10cpi" w:hAnsi="Courier 10cpi"/>
        </w:rPr>
      </w:pPr>
      <w:bookmarkStart w:id="0" w:name="_GoBack"/>
      <w:bookmarkEnd w:id="0"/>
      <w:r>
        <w:rPr>
          <w:rFonts w:ascii="Courier 10cpi" w:hAnsi="Courier 10cpi"/>
          <w:noProof/>
        </w:rPr>
        <w:drawing>
          <wp:inline distT="0" distB="0" distL="0" distR="0">
            <wp:extent cx="5943600" cy="913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HD Stationer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13765"/>
                    </a:xfrm>
                    <a:prstGeom prst="rect">
                      <a:avLst/>
                    </a:prstGeom>
                  </pic:spPr>
                </pic:pic>
              </a:graphicData>
            </a:graphic>
          </wp:inline>
        </w:drawing>
      </w:r>
    </w:p>
    <w:p w:rsidR="00B71B0E" w:rsidRDefault="00B71B0E" w:rsidP="00B71B0E">
      <w:pPr>
        <w:widowControl w:val="0"/>
        <w:tabs>
          <w:tab w:val="center" w:pos="4680"/>
        </w:tabs>
        <w:jc w:val="center"/>
        <w:rPr>
          <w:rFonts w:ascii="Univers" w:hAnsi="Univers"/>
          <w:b/>
          <w:sz w:val="22"/>
        </w:rPr>
      </w:pPr>
    </w:p>
    <w:p w:rsidR="00B71B0E" w:rsidRDefault="00B71B0E" w:rsidP="00B71B0E">
      <w:pPr>
        <w:widowControl w:val="0"/>
        <w:tabs>
          <w:tab w:val="center" w:pos="4680"/>
        </w:tabs>
        <w:jc w:val="center"/>
        <w:rPr>
          <w:rFonts w:ascii="Univers" w:hAnsi="Univers"/>
          <w:b/>
          <w:sz w:val="22"/>
        </w:rPr>
      </w:pPr>
      <w:r>
        <w:rPr>
          <w:rFonts w:ascii="Univers" w:hAnsi="Univers"/>
          <w:b/>
          <w:sz w:val="22"/>
        </w:rPr>
        <w:t>- FOR</w:t>
      </w:r>
      <w:r w:rsidR="006E46E3">
        <w:rPr>
          <w:rFonts w:ascii="Univers" w:hAnsi="Univers"/>
          <w:b/>
          <w:sz w:val="22"/>
        </w:rPr>
        <w:t xml:space="preserve"> IMMEDIATE </w:t>
      </w:r>
      <w:r>
        <w:rPr>
          <w:rFonts w:ascii="Univers" w:hAnsi="Univers"/>
          <w:b/>
          <w:sz w:val="22"/>
        </w:rPr>
        <w:t xml:space="preserve">RELEASE </w:t>
      </w:r>
      <w:r w:rsidR="00D933D8">
        <w:rPr>
          <w:rFonts w:ascii="Univers" w:hAnsi="Univers"/>
          <w:b/>
          <w:sz w:val="22"/>
        </w:rPr>
        <w:t>–</w:t>
      </w:r>
    </w:p>
    <w:p w:rsidR="00D933D8" w:rsidRDefault="00D933D8" w:rsidP="00B71B0E">
      <w:pPr>
        <w:widowControl w:val="0"/>
        <w:tabs>
          <w:tab w:val="center" w:pos="4680"/>
        </w:tabs>
        <w:jc w:val="center"/>
        <w:rPr>
          <w:rFonts w:ascii="Univers" w:hAnsi="Univers"/>
          <w:sz w:val="22"/>
        </w:rPr>
      </w:pPr>
      <w:r>
        <w:rPr>
          <w:rFonts w:ascii="Univers" w:hAnsi="Univers"/>
          <w:b/>
          <w:sz w:val="22"/>
        </w:rPr>
        <w:t xml:space="preserve">November </w:t>
      </w:r>
      <w:r w:rsidR="001535AC">
        <w:rPr>
          <w:rFonts w:ascii="Univers" w:hAnsi="Univers"/>
          <w:b/>
          <w:sz w:val="22"/>
        </w:rPr>
        <w:t>4</w:t>
      </w:r>
      <w:r>
        <w:rPr>
          <w:rFonts w:ascii="Univers" w:hAnsi="Univers"/>
          <w:b/>
          <w:sz w:val="22"/>
        </w:rPr>
        <w:t>, 2019</w:t>
      </w:r>
    </w:p>
    <w:p w:rsidR="00B71B0E" w:rsidRDefault="00B71B0E" w:rsidP="00B71B0E">
      <w:pPr>
        <w:widowControl w:val="0"/>
        <w:jc w:val="center"/>
        <w:rPr>
          <w:rFonts w:ascii="Univers" w:hAnsi="Univers"/>
          <w:sz w:val="22"/>
        </w:rPr>
      </w:pPr>
    </w:p>
    <w:p w:rsidR="005D2BA1" w:rsidRDefault="005D2BA1" w:rsidP="005D2BA1">
      <w:pPr>
        <w:widowControl w:val="0"/>
        <w:tabs>
          <w:tab w:val="left" w:pos="4860"/>
        </w:tabs>
        <w:rPr>
          <w:rFonts w:ascii="Univers" w:hAnsi="Univers"/>
          <w:sz w:val="22"/>
        </w:rPr>
      </w:pPr>
      <w:r>
        <w:rPr>
          <w:rFonts w:ascii="Univers" w:hAnsi="Univers"/>
          <w:sz w:val="22"/>
        </w:rPr>
        <w:tab/>
        <w:t xml:space="preserve">  Contact person: </w:t>
      </w:r>
    </w:p>
    <w:p w:rsidR="005D2BA1" w:rsidRDefault="005D2BA1" w:rsidP="005D2BA1">
      <w:pPr>
        <w:widowControl w:val="0"/>
        <w:jc w:val="center"/>
        <w:rPr>
          <w:rFonts w:ascii="Univers" w:hAnsi="Univers"/>
          <w:sz w:val="22"/>
        </w:rPr>
      </w:pPr>
      <w:r>
        <w:rPr>
          <w:rFonts w:ascii="Univers" w:hAnsi="Univers"/>
          <w:sz w:val="22"/>
        </w:rPr>
        <w:tab/>
      </w:r>
      <w:r>
        <w:rPr>
          <w:rFonts w:ascii="Univers" w:hAnsi="Univers"/>
          <w:sz w:val="22"/>
        </w:rPr>
        <w:tab/>
      </w:r>
      <w:r>
        <w:rPr>
          <w:rFonts w:ascii="Univers" w:hAnsi="Univers"/>
          <w:sz w:val="22"/>
        </w:rPr>
        <w:tab/>
      </w:r>
      <w:r>
        <w:rPr>
          <w:rFonts w:ascii="Univers" w:hAnsi="Univers"/>
          <w:sz w:val="22"/>
        </w:rPr>
        <w:tab/>
      </w:r>
      <w:r>
        <w:rPr>
          <w:rFonts w:ascii="Univers" w:hAnsi="Univers"/>
          <w:sz w:val="22"/>
        </w:rPr>
        <w:tab/>
      </w:r>
      <w:r w:rsidR="00F66B9A">
        <w:rPr>
          <w:rFonts w:ascii="Univers" w:hAnsi="Univers"/>
          <w:sz w:val="22"/>
        </w:rPr>
        <w:t>Shanay Settles, 269-969-6475</w:t>
      </w:r>
    </w:p>
    <w:p w:rsidR="005D2BA1" w:rsidRDefault="005D2BA1" w:rsidP="00B71B0E">
      <w:pPr>
        <w:widowControl w:val="0"/>
        <w:jc w:val="center"/>
        <w:rPr>
          <w:rFonts w:ascii="Univers" w:hAnsi="Univers"/>
          <w:sz w:val="22"/>
        </w:rPr>
      </w:pPr>
    </w:p>
    <w:p w:rsidR="00B71B0E" w:rsidRDefault="00B71B0E" w:rsidP="006E46E3">
      <w:pPr>
        <w:widowControl w:val="0"/>
        <w:tabs>
          <w:tab w:val="left" w:pos="4860"/>
        </w:tabs>
        <w:rPr>
          <w:rFonts w:ascii="Univers" w:hAnsi="Univers"/>
          <w:sz w:val="22"/>
        </w:rPr>
      </w:pPr>
      <w:r>
        <w:rPr>
          <w:rFonts w:ascii="Univers" w:hAnsi="Univers"/>
          <w:sz w:val="22"/>
        </w:rPr>
        <w:tab/>
      </w:r>
    </w:p>
    <w:p w:rsidR="00B71B0E" w:rsidRPr="005D2BA1" w:rsidRDefault="00686C3F" w:rsidP="00B71B0E">
      <w:pPr>
        <w:jc w:val="center"/>
        <w:rPr>
          <w:rFonts w:ascii="Tahoma" w:hAnsi="Tahoma" w:cs="Tahoma"/>
          <w:b/>
          <w:sz w:val="28"/>
          <w:szCs w:val="28"/>
        </w:rPr>
      </w:pPr>
      <w:r>
        <w:rPr>
          <w:rFonts w:ascii="Tahoma" w:hAnsi="Tahoma" w:cs="Tahoma"/>
          <w:b/>
          <w:sz w:val="28"/>
          <w:szCs w:val="28"/>
        </w:rPr>
        <w:t>Six Simple Steps for Holiday Food Safety</w:t>
      </w:r>
    </w:p>
    <w:p w:rsidR="00B71B0E" w:rsidRDefault="00B71B0E" w:rsidP="00B71B0E">
      <w:pPr>
        <w:rPr>
          <w:rFonts w:ascii="Arial" w:hAnsi="Arial" w:cs="Arial"/>
          <w:lang w:val="en"/>
        </w:rPr>
      </w:pPr>
    </w:p>
    <w:p w:rsidR="001535AC" w:rsidRDefault="001535AC" w:rsidP="001535AC">
      <w:pPr>
        <w:pStyle w:val="NormalWeb"/>
        <w:spacing w:line="480" w:lineRule="auto"/>
        <w:ind w:firstLine="720"/>
        <w:rPr>
          <w:rFonts w:eastAsia="Calibri"/>
        </w:rPr>
      </w:pPr>
      <w:r>
        <w:rPr>
          <w:rFonts w:eastAsia="Calibri"/>
        </w:rPr>
        <w:t>The holidays are quickly approaching, and with them, the building excitement for delicious holiday meals. Calhoun County Public Health Department (CCPHD) would like to pass along six s</w:t>
      </w:r>
      <w:r w:rsidR="00B957C4">
        <w:rPr>
          <w:rFonts w:eastAsia="Calibri"/>
        </w:rPr>
        <w:t>imple tips from the Centers for</w:t>
      </w:r>
      <w:r>
        <w:rPr>
          <w:rFonts w:eastAsia="Calibri"/>
        </w:rPr>
        <w:t xml:space="preserve"> </w:t>
      </w:r>
      <w:r w:rsidR="00B957C4">
        <w:rPr>
          <w:rFonts w:eastAsia="Calibri"/>
        </w:rPr>
        <w:t xml:space="preserve">Disease </w:t>
      </w:r>
      <w:r>
        <w:rPr>
          <w:rFonts w:eastAsia="Calibri"/>
        </w:rPr>
        <w:t xml:space="preserve">Control </w:t>
      </w:r>
      <w:r w:rsidR="00B957C4">
        <w:rPr>
          <w:rFonts w:eastAsia="Calibri"/>
        </w:rPr>
        <w:t xml:space="preserve">and Prevention </w:t>
      </w:r>
      <w:r>
        <w:rPr>
          <w:rFonts w:eastAsia="Calibri"/>
        </w:rPr>
        <w:t xml:space="preserve">(CDC) which you can </w:t>
      </w:r>
      <w:r w:rsidR="00CC7BCD">
        <w:rPr>
          <w:rFonts w:eastAsia="Calibri"/>
        </w:rPr>
        <w:t>follow</w:t>
      </w:r>
      <w:r>
        <w:rPr>
          <w:rFonts w:eastAsia="Calibri"/>
        </w:rPr>
        <w:t xml:space="preserve"> to keep the holiday spread not only tasty, but safe for you, your friends, and your family. </w:t>
      </w:r>
      <w:r w:rsidR="00B957C4">
        <w:rPr>
          <w:rFonts w:eastAsia="Calibri"/>
        </w:rPr>
        <w:t>G</w:t>
      </w:r>
      <w:r>
        <w:rPr>
          <w:rFonts w:eastAsia="Calibri"/>
        </w:rPr>
        <w:t xml:space="preserve">athering with your loved ones should be about celebration, not </w:t>
      </w:r>
      <w:r w:rsidR="00F66B9A">
        <w:rPr>
          <w:rFonts w:eastAsia="Calibri"/>
        </w:rPr>
        <w:t>salmonella</w:t>
      </w:r>
      <w:r>
        <w:rPr>
          <w:rFonts w:eastAsia="Calibri"/>
        </w:rPr>
        <w:t xml:space="preserve"> (the bacteria most commonly responsible for food poisoning in the United States).</w:t>
      </w:r>
    </w:p>
    <w:p w:rsidR="001535AC" w:rsidRDefault="001535AC" w:rsidP="001535AC">
      <w:pPr>
        <w:pStyle w:val="NormalWeb"/>
        <w:numPr>
          <w:ilvl w:val="0"/>
          <w:numId w:val="11"/>
        </w:numPr>
        <w:spacing w:line="480" w:lineRule="auto"/>
        <w:rPr>
          <w:rFonts w:eastAsia="Calibri"/>
        </w:rPr>
      </w:pPr>
      <w:r w:rsidRPr="00686C3F">
        <w:rPr>
          <w:rFonts w:eastAsia="Calibri"/>
          <w:b/>
        </w:rPr>
        <w:t>Keep it clean.</w:t>
      </w:r>
      <w:r>
        <w:rPr>
          <w:rFonts w:eastAsia="Calibri"/>
        </w:rPr>
        <w:t xml:space="preserve"> Wash your hands with soap and running water for at least 20 seconds before preparing, eating</w:t>
      </w:r>
      <w:r w:rsidR="00B957C4">
        <w:rPr>
          <w:rFonts w:eastAsia="Calibri"/>
        </w:rPr>
        <w:t>,</w:t>
      </w:r>
      <w:r>
        <w:rPr>
          <w:rFonts w:eastAsia="Calibri"/>
        </w:rPr>
        <w:t xml:space="preserve"> or handling food. Wash your hands after using the bathroom and touching pets. And wash your cutting boards, dishes, utensils, and countertops with hot, soapy water after preparing each food on the menu.</w:t>
      </w:r>
    </w:p>
    <w:p w:rsidR="001535AC" w:rsidRDefault="001535AC" w:rsidP="001535AC">
      <w:pPr>
        <w:pStyle w:val="NormalWeb"/>
        <w:numPr>
          <w:ilvl w:val="0"/>
          <w:numId w:val="11"/>
        </w:numPr>
        <w:spacing w:line="480" w:lineRule="auto"/>
        <w:rPr>
          <w:rFonts w:eastAsia="Calibri"/>
        </w:rPr>
      </w:pPr>
      <w:r w:rsidRPr="00686C3F">
        <w:rPr>
          <w:rFonts w:eastAsia="Calibri"/>
          <w:b/>
        </w:rPr>
        <w:t xml:space="preserve">Separate it out. </w:t>
      </w:r>
      <w:r>
        <w:rPr>
          <w:rFonts w:eastAsia="Calibri"/>
        </w:rPr>
        <w:t>Raw meat, poultry, seafood, and eggs should stay separate from foods that won’t be cooked before eating such as fruit, salad, and bread. Use separate cutting boards, plates</w:t>
      </w:r>
      <w:r w:rsidR="00B957C4">
        <w:rPr>
          <w:rFonts w:eastAsia="Calibri"/>
        </w:rPr>
        <w:t>,</w:t>
      </w:r>
      <w:r>
        <w:rPr>
          <w:rFonts w:eastAsia="Calibri"/>
        </w:rPr>
        <w:t xml:space="preserve"> and knives for fresh fruits and vegetables and for raw meats. Even when you’re doing the holiday shopping, keep th</w:t>
      </w:r>
      <w:r w:rsidR="00B957C4">
        <w:rPr>
          <w:rFonts w:eastAsia="Calibri"/>
        </w:rPr>
        <w:t>ese items separate in your cart</w:t>
      </w:r>
      <w:r>
        <w:rPr>
          <w:rFonts w:eastAsia="Calibri"/>
        </w:rPr>
        <w:t xml:space="preserve"> and when storing them in the refrigerator.</w:t>
      </w:r>
    </w:p>
    <w:p w:rsidR="001535AC" w:rsidRDefault="001535AC" w:rsidP="001535AC">
      <w:pPr>
        <w:pStyle w:val="NormalWeb"/>
        <w:numPr>
          <w:ilvl w:val="0"/>
          <w:numId w:val="11"/>
        </w:numPr>
        <w:spacing w:line="480" w:lineRule="auto"/>
        <w:rPr>
          <w:rFonts w:eastAsia="Calibri"/>
        </w:rPr>
      </w:pPr>
      <w:r w:rsidRPr="00686C3F">
        <w:rPr>
          <w:rFonts w:eastAsia="Calibri"/>
          <w:b/>
        </w:rPr>
        <w:lastRenderedPageBreak/>
        <w:t>Cook it completely.</w:t>
      </w:r>
      <w:r>
        <w:rPr>
          <w:rFonts w:eastAsia="Calibri"/>
        </w:rPr>
        <w:t xml:space="preserve"> Use a food thermometer to make sure foods are cooked to a temperature hot enough to kill germs. For example, turkey should be 165</w:t>
      </w:r>
      <w:r w:rsidR="000C5CFF">
        <w:rPr>
          <w:rFonts w:eastAsia="Calibri"/>
        </w:rPr>
        <w:t>°F</w:t>
      </w:r>
      <w:r>
        <w:rPr>
          <w:rFonts w:eastAsia="Calibri"/>
        </w:rPr>
        <w:t xml:space="preserve"> in the middle to be considered done. More internal cooking temperatures can be found by visiting </w:t>
      </w:r>
      <w:hyperlink r:id="rId6" w:history="1">
        <w:r w:rsidRPr="003E4C68">
          <w:rPr>
            <w:rStyle w:val="Hyperlink"/>
            <w:rFonts w:eastAsia="Calibri"/>
          </w:rPr>
          <w:t>www.foodsafety.gov/food-safety-charts/safe-minimum-cooking-temperature</w:t>
        </w:r>
      </w:hyperlink>
      <w:r>
        <w:rPr>
          <w:rFonts w:eastAsia="Calibri"/>
        </w:rPr>
        <w:t xml:space="preserve">. </w:t>
      </w:r>
      <w:r w:rsidR="000C5CFF">
        <w:rPr>
          <w:rFonts w:eastAsia="Calibri"/>
        </w:rPr>
        <w:t>Also,</w:t>
      </w:r>
      <w:r>
        <w:rPr>
          <w:rFonts w:eastAsia="Calibri"/>
        </w:rPr>
        <w:t xml:space="preserve"> pay attention to the “resting” or “standing” times recommended in cooking instructions – once food comes out of the oven or microwave, these times allow the inside of meats to finish cooking, while the outside cools enough to carve (this also helps keep meat from drying out!). </w:t>
      </w:r>
    </w:p>
    <w:p w:rsidR="001535AC" w:rsidRDefault="001535AC" w:rsidP="001535AC">
      <w:pPr>
        <w:pStyle w:val="NormalWeb"/>
        <w:numPr>
          <w:ilvl w:val="0"/>
          <w:numId w:val="11"/>
        </w:numPr>
        <w:spacing w:line="480" w:lineRule="auto"/>
        <w:rPr>
          <w:rFonts w:eastAsia="Calibri"/>
        </w:rPr>
      </w:pPr>
      <w:r w:rsidRPr="00686C3F">
        <w:rPr>
          <w:rFonts w:eastAsia="Calibri"/>
          <w:b/>
        </w:rPr>
        <w:t>Serve it safely.</w:t>
      </w:r>
      <w:r>
        <w:rPr>
          <w:rFonts w:eastAsia="Calibri"/>
        </w:rPr>
        <w:t xml:space="preserve"> Keep the dishes you’ve prepared in advance in shallow containers and store them in a refrigerator or freezer to encourage even, rapid cooling. Use slow cookers or warming trays to keep hot foods hot, at 140</w:t>
      </w:r>
      <w:r w:rsidR="000C5CFF">
        <w:rPr>
          <w:rFonts w:eastAsia="Calibri"/>
        </w:rPr>
        <w:t>°F</w:t>
      </w:r>
      <w:r>
        <w:rPr>
          <w:rFonts w:eastAsia="Calibri"/>
        </w:rPr>
        <w:t xml:space="preserve"> or warmer. To keep cold foods cold, use small serving trays that you refill f</w:t>
      </w:r>
      <w:r w:rsidR="00F66B9A">
        <w:rPr>
          <w:rFonts w:eastAsia="Calibri"/>
        </w:rPr>
        <w:t>requently from the fridge, or pl</w:t>
      </w:r>
      <w:r>
        <w:rPr>
          <w:rFonts w:eastAsia="Calibri"/>
        </w:rPr>
        <w:t xml:space="preserve">ace dishes atop bowls of ice to stay chilled. </w:t>
      </w:r>
    </w:p>
    <w:p w:rsidR="001535AC" w:rsidRDefault="001535AC" w:rsidP="001535AC">
      <w:pPr>
        <w:pStyle w:val="NormalWeb"/>
        <w:numPr>
          <w:ilvl w:val="0"/>
          <w:numId w:val="11"/>
        </w:numPr>
        <w:spacing w:line="480" w:lineRule="auto"/>
        <w:rPr>
          <w:rFonts w:eastAsia="Calibri"/>
        </w:rPr>
      </w:pPr>
      <w:r w:rsidRPr="00686C3F">
        <w:rPr>
          <w:rFonts w:eastAsia="Calibri"/>
          <w:b/>
        </w:rPr>
        <w:t>Time it out.</w:t>
      </w:r>
      <w:r>
        <w:rPr>
          <w:rFonts w:eastAsia="Calibri"/>
        </w:rPr>
        <w:t xml:space="preserve"> </w:t>
      </w:r>
      <w:r w:rsidR="009124E4">
        <w:rPr>
          <w:rFonts w:eastAsia="Calibri"/>
        </w:rPr>
        <w:t xml:space="preserve">Throw away perishable foods that have been out at room temperature for two hours or more. </w:t>
      </w:r>
    </w:p>
    <w:p w:rsidR="009124E4" w:rsidRDefault="009124E4" w:rsidP="001535AC">
      <w:pPr>
        <w:pStyle w:val="NormalWeb"/>
        <w:numPr>
          <w:ilvl w:val="0"/>
          <w:numId w:val="11"/>
        </w:numPr>
        <w:spacing w:line="480" w:lineRule="auto"/>
        <w:rPr>
          <w:rFonts w:eastAsia="Calibri"/>
        </w:rPr>
      </w:pPr>
      <w:r w:rsidRPr="00686C3F">
        <w:rPr>
          <w:rFonts w:eastAsia="Calibri"/>
          <w:b/>
        </w:rPr>
        <w:t>Last but not least: Love your leftovers!</w:t>
      </w:r>
      <w:r>
        <w:rPr>
          <w:rFonts w:eastAsia="Calibri"/>
        </w:rPr>
        <w:t xml:space="preserve"> To keep your leftovers lasting longer, divide them into smaller portions or pieces and refrigerate or freeze within two hours of preparation. When you’re ready to make your famous cranberry-stuffing-mashed potato-turkey sandwich, make sure to reheat your leftovers to 165</w:t>
      </w:r>
      <w:r w:rsidR="000C5CFF">
        <w:rPr>
          <w:rFonts w:eastAsia="Calibri"/>
        </w:rPr>
        <w:t>°F</w:t>
      </w:r>
      <w:r>
        <w:rPr>
          <w:rFonts w:eastAsia="Calibri"/>
        </w:rPr>
        <w:t xml:space="preserve"> before serving.</w:t>
      </w:r>
    </w:p>
    <w:p w:rsidR="009124E4" w:rsidRPr="00686C3F" w:rsidRDefault="009124E4" w:rsidP="009124E4">
      <w:pPr>
        <w:pStyle w:val="NormalWeb"/>
        <w:spacing w:line="480" w:lineRule="auto"/>
        <w:ind w:left="720"/>
        <w:rPr>
          <w:rFonts w:eastAsia="Calibri"/>
          <w:b/>
        </w:rPr>
      </w:pPr>
      <w:r w:rsidRPr="00686C3F">
        <w:rPr>
          <w:rFonts w:eastAsia="Calibri"/>
          <w:b/>
        </w:rPr>
        <w:t>Learn more</w:t>
      </w:r>
    </w:p>
    <w:p w:rsidR="009124E4" w:rsidRPr="001535AC" w:rsidRDefault="009124E4" w:rsidP="009124E4">
      <w:pPr>
        <w:pStyle w:val="NormalWeb"/>
        <w:spacing w:line="480" w:lineRule="auto"/>
        <w:ind w:left="720"/>
        <w:rPr>
          <w:rFonts w:eastAsia="Calibri"/>
        </w:rPr>
      </w:pPr>
      <w:r>
        <w:rPr>
          <w:rFonts w:eastAsia="Calibri"/>
        </w:rPr>
        <w:tab/>
        <w:t xml:space="preserve">Germs that can make you sick like </w:t>
      </w:r>
      <w:r w:rsidR="00F55A46">
        <w:rPr>
          <w:rFonts w:eastAsia="Calibri"/>
        </w:rPr>
        <w:t xml:space="preserve">salmonella </w:t>
      </w:r>
      <w:r>
        <w:rPr>
          <w:rFonts w:eastAsia="Calibri"/>
        </w:rPr>
        <w:t>grow quickly when food is lukewarm, between 40</w:t>
      </w:r>
      <w:r w:rsidR="000C5CFF">
        <w:rPr>
          <w:rFonts w:eastAsia="Calibri"/>
        </w:rPr>
        <w:t>°F</w:t>
      </w:r>
      <w:r>
        <w:rPr>
          <w:rFonts w:eastAsia="Calibri"/>
        </w:rPr>
        <w:t xml:space="preserve"> and 140</w:t>
      </w:r>
      <w:r w:rsidR="000C5CFF">
        <w:rPr>
          <w:rFonts w:eastAsia="Calibri"/>
        </w:rPr>
        <w:t>°F</w:t>
      </w:r>
      <w:r>
        <w:rPr>
          <w:rFonts w:eastAsia="Calibri"/>
        </w:rPr>
        <w:t xml:space="preserve">. That’s why it’s important to keep your hot foods </w:t>
      </w:r>
      <w:r w:rsidR="00F55A46">
        <w:rPr>
          <w:rFonts w:eastAsia="Calibri"/>
        </w:rPr>
        <w:t>hot</w:t>
      </w:r>
      <w:r>
        <w:rPr>
          <w:rFonts w:eastAsia="Calibri"/>
        </w:rPr>
        <w:t xml:space="preserve"> and your cold foods cold. For more detailed information </w:t>
      </w:r>
      <w:r w:rsidR="00686C3F">
        <w:rPr>
          <w:rFonts w:eastAsia="Calibri"/>
        </w:rPr>
        <w:t xml:space="preserve">about food safety, you can visit </w:t>
      </w:r>
      <w:hyperlink r:id="rId7" w:history="1">
        <w:r w:rsidR="00686C3F" w:rsidRPr="003E4C68">
          <w:rPr>
            <w:rStyle w:val="Hyperlink"/>
            <w:rFonts w:eastAsia="Calibri"/>
          </w:rPr>
          <w:t>www.cdc.gov/foodsafety</w:t>
        </w:r>
      </w:hyperlink>
      <w:r w:rsidR="00686C3F">
        <w:rPr>
          <w:rFonts w:eastAsia="Calibri"/>
        </w:rPr>
        <w:t xml:space="preserve">. For more tips and resources to keep you and your family </w:t>
      </w:r>
      <w:r w:rsidR="00686C3F">
        <w:rPr>
          <w:rFonts w:eastAsia="Calibri"/>
        </w:rPr>
        <w:lastRenderedPageBreak/>
        <w:t xml:space="preserve">healthy, we encourage you to follow CCPHD on </w:t>
      </w:r>
      <w:proofErr w:type="spellStart"/>
      <w:r w:rsidR="00686C3F">
        <w:rPr>
          <w:rFonts w:eastAsia="Calibri"/>
        </w:rPr>
        <w:t>facebook</w:t>
      </w:r>
      <w:proofErr w:type="spellEnd"/>
      <w:r w:rsidR="00686C3F">
        <w:rPr>
          <w:rFonts w:eastAsia="Calibri"/>
        </w:rPr>
        <w:t xml:space="preserve"> at </w:t>
      </w:r>
      <w:hyperlink r:id="rId8" w:history="1">
        <w:r w:rsidR="00686C3F" w:rsidRPr="003E4C68">
          <w:rPr>
            <w:rStyle w:val="Hyperlink"/>
            <w:rFonts w:eastAsia="Calibri"/>
          </w:rPr>
          <w:t>www.facebook.com/CCPublicHealthDepartment</w:t>
        </w:r>
      </w:hyperlink>
      <w:r w:rsidR="00686C3F">
        <w:rPr>
          <w:rFonts w:eastAsia="Calibri"/>
        </w:rPr>
        <w:t>.</w:t>
      </w:r>
    </w:p>
    <w:p w:rsidR="00B71B0E" w:rsidRPr="005D2BA1" w:rsidRDefault="00D933D8" w:rsidP="005D2BA1">
      <w:pPr>
        <w:pStyle w:val="NormalWeb"/>
        <w:spacing w:line="480" w:lineRule="auto"/>
        <w:jc w:val="center"/>
      </w:pPr>
      <w:r w:rsidRPr="00464A71">
        <w:rPr>
          <w:rFonts w:eastAsia="Calibri"/>
        </w:rPr>
        <w:t>---end---</w:t>
      </w:r>
    </w:p>
    <w:p w:rsidR="00E353F6" w:rsidRDefault="00E353F6" w:rsidP="005D2BA1">
      <w:pPr>
        <w:spacing w:line="480" w:lineRule="auto"/>
        <w:rPr>
          <w:szCs w:val="24"/>
        </w:rPr>
      </w:pPr>
    </w:p>
    <w:p w:rsidR="00143A07" w:rsidRPr="005D2BA1" w:rsidRDefault="00143A07" w:rsidP="005D2BA1">
      <w:pPr>
        <w:spacing w:line="480" w:lineRule="auto"/>
        <w:rPr>
          <w:szCs w:val="24"/>
        </w:rPr>
      </w:pPr>
    </w:p>
    <w:sectPr w:rsidR="00143A07" w:rsidRPr="005D2BA1" w:rsidSect="00E408E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0CB"/>
    <w:multiLevelType w:val="multilevel"/>
    <w:tmpl w:val="845AEB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DC228A"/>
    <w:multiLevelType w:val="multilevel"/>
    <w:tmpl w:val="1EE21ECC"/>
    <w:styleLink w:val="BullettStd"/>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2F27E33"/>
    <w:multiLevelType w:val="multilevel"/>
    <w:tmpl w:val="0409001D"/>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6F6E2A"/>
    <w:multiLevelType w:val="multilevel"/>
    <w:tmpl w:val="70E69432"/>
    <w:styleLink w:val="Contractnumbering"/>
    <w:lvl w:ilvl="0">
      <w:start w:val="1"/>
      <w:numFmt w:val="upperRoman"/>
      <w:lvlText w:val="%1."/>
      <w:lvlJc w:val="left"/>
      <w:pPr>
        <w:ind w:left="432" w:hanging="432"/>
      </w:pPr>
      <w:rPr>
        <w:rFonts w:ascii="Arial" w:hAnsi="Arial"/>
        <w:sz w:val="24"/>
        <w:u w:val="single"/>
      </w:rPr>
    </w:lvl>
    <w:lvl w:ilvl="1">
      <w:start w:val="1"/>
      <w:numFmt w:val="upperLetter"/>
      <w:lvlText w:val="%2."/>
      <w:lvlJc w:val="left"/>
      <w:pPr>
        <w:ind w:left="936" w:hanging="504"/>
      </w:pPr>
      <w:rPr>
        <w:rFonts w:ascii="Arial" w:hAnsi="Arial"/>
        <w:sz w:val="24"/>
        <w:u w:val="none"/>
      </w:rPr>
    </w:lvl>
    <w:lvl w:ilvl="2">
      <w:start w:val="1"/>
      <w:numFmt w:val="decimal"/>
      <w:lvlText w:val="%3."/>
      <w:lvlJc w:val="left"/>
      <w:pPr>
        <w:ind w:left="1368" w:hanging="432"/>
      </w:pPr>
      <w:rPr>
        <w:rFonts w:ascii="Arial" w:hAnsi="Arial" w:hint="default"/>
        <w:sz w:val="24"/>
      </w:rPr>
    </w:lvl>
    <w:lvl w:ilvl="3">
      <w:start w:val="1"/>
      <w:numFmt w:val="lowerLetter"/>
      <w:lvlText w:val="%4."/>
      <w:lvlJc w:val="left"/>
      <w:pPr>
        <w:ind w:left="1872" w:hanging="504"/>
      </w:pPr>
      <w:rPr>
        <w:rFonts w:ascii="Arial" w:hAnsi="Arial"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6293C8C"/>
    <w:multiLevelType w:val="multilevel"/>
    <w:tmpl w:val="0409001D"/>
    <w:styleLink w:val="BulletsStd"/>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7791106"/>
    <w:multiLevelType w:val="hybridMultilevel"/>
    <w:tmpl w:val="518E2B7C"/>
    <w:lvl w:ilvl="0" w:tplc="2C367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0250B9"/>
    <w:multiLevelType w:val="multilevel"/>
    <w:tmpl w:val="70E69432"/>
    <w:styleLink w:val="Style1"/>
    <w:lvl w:ilvl="0">
      <w:start w:val="1"/>
      <w:numFmt w:val="upperRoman"/>
      <w:lvlText w:val="%1."/>
      <w:lvlJc w:val="left"/>
      <w:pPr>
        <w:ind w:left="432" w:hanging="432"/>
      </w:pPr>
      <w:rPr>
        <w:rFonts w:hint="default"/>
      </w:rPr>
    </w:lvl>
    <w:lvl w:ilvl="1">
      <w:start w:val="1"/>
      <w:numFmt w:val="upperLetter"/>
      <w:lvlText w:val="%2."/>
      <w:lvlJc w:val="left"/>
      <w:pPr>
        <w:ind w:left="936" w:hanging="504"/>
      </w:pPr>
      <w:rPr>
        <w:rFonts w:hint="default"/>
      </w:rPr>
    </w:lvl>
    <w:lvl w:ilvl="2">
      <w:start w:val="1"/>
      <w:numFmt w:val="decimal"/>
      <w:lvlText w:val="%3."/>
      <w:lvlJc w:val="left"/>
      <w:pPr>
        <w:ind w:left="1368" w:hanging="432"/>
      </w:pPr>
      <w:rPr>
        <w:rFonts w:hint="default"/>
      </w:rPr>
    </w:lvl>
    <w:lvl w:ilvl="3">
      <w:start w:val="1"/>
      <w:numFmt w:val="lowerLetter"/>
      <w:lvlText w:val="%4."/>
      <w:lvlJc w:val="left"/>
      <w:pPr>
        <w:ind w:left="1872"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
  </w:num>
  <w:num w:numId="3">
    <w:abstractNumId w:val="0"/>
  </w:num>
  <w:num w:numId="4">
    <w:abstractNumId w:val="2"/>
  </w:num>
  <w:num w:numId="5">
    <w:abstractNumId w:val="4"/>
  </w:num>
  <w:num w:numId="6">
    <w:abstractNumId w:val="2"/>
  </w:num>
  <w:num w:numId="7">
    <w:abstractNumId w:val="1"/>
  </w:num>
  <w:num w:numId="8">
    <w:abstractNumId w:val="6"/>
  </w:num>
  <w:num w:numId="9">
    <w:abstractNumId w:val="3"/>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0E"/>
    <w:rsid w:val="00023D76"/>
    <w:rsid w:val="000A150B"/>
    <w:rsid w:val="000C5CFF"/>
    <w:rsid w:val="00143A07"/>
    <w:rsid w:val="001535AC"/>
    <w:rsid w:val="002B35DD"/>
    <w:rsid w:val="005D2BA1"/>
    <w:rsid w:val="00627BDD"/>
    <w:rsid w:val="00686C3F"/>
    <w:rsid w:val="0069583A"/>
    <w:rsid w:val="006E46E3"/>
    <w:rsid w:val="006F63BA"/>
    <w:rsid w:val="00787E28"/>
    <w:rsid w:val="008E00FA"/>
    <w:rsid w:val="008E3310"/>
    <w:rsid w:val="00903461"/>
    <w:rsid w:val="009124E4"/>
    <w:rsid w:val="00A25004"/>
    <w:rsid w:val="00A97090"/>
    <w:rsid w:val="00AB63F6"/>
    <w:rsid w:val="00B14633"/>
    <w:rsid w:val="00B71B0E"/>
    <w:rsid w:val="00B957C4"/>
    <w:rsid w:val="00BA4705"/>
    <w:rsid w:val="00CA286A"/>
    <w:rsid w:val="00CC7BCD"/>
    <w:rsid w:val="00D933D8"/>
    <w:rsid w:val="00E353F6"/>
    <w:rsid w:val="00EA7F9A"/>
    <w:rsid w:val="00F55A46"/>
    <w:rsid w:val="00F66B9A"/>
    <w:rsid w:val="00F66FB8"/>
    <w:rsid w:val="00F7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4EF7A-0ACB-4BCE-817B-F1DE5F3C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B0E"/>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sStd">
    <w:name w:val="Bullets Std"/>
    <w:uiPriority w:val="99"/>
    <w:rsid w:val="00EA7F9A"/>
    <w:pPr>
      <w:numPr>
        <w:numId w:val="1"/>
      </w:numPr>
    </w:pPr>
  </w:style>
  <w:style w:type="numbering" w:customStyle="1" w:styleId="BullettStd">
    <w:name w:val="Bullett Std"/>
    <w:uiPriority w:val="99"/>
    <w:rsid w:val="0069583A"/>
    <w:pPr>
      <w:numPr>
        <w:numId w:val="2"/>
      </w:numPr>
    </w:pPr>
  </w:style>
  <w:style w:type="paragraph" w:styleId="ListParagraph">
    <w:name w:val="List Paragraph"/>
    <w:basedOn w:val="Normal"/>
    <w:uiPriority w:val="1"/>
    <w:qFormat/>
    <w:rsid w:val="00BA4705"/>
    <w:pPr>
      <w:widowControl w:val="0"/>
    </w:pPr>
    <w:rPr>
      <w:rFonts w:eastAsiaTheme="minorHAnsi" w:cstheme="minorBidi"/>
      <w:color w:val="000000" w:themeColor="text1"/>
      <w:szCs w:val="22"/>
    </w:rPr>
  </w:style>
  <w:style w:type="numbering" w:customStyle="1" w:styleId="Style1">
    <w:name w:val="Style1"/>
    <w:uiPriority w:val="99"/>
    <w:rsid w:val="008E3310"/>
    <w:pPr>
      <w:numPr>
        <w:numId w:val="8"/>
      </w:numPr>
    </w:pPr>
  </w:style>
  <w:style w:type="numbering" w:customStyle="1" w:styleId="Style2">
    <w:name w:val="Style2"/>
    <w:uiPriority w:val="99"/>
    <w:rsid w:val="00AB63F6"/>
    <w:pPr>
      <w:numPr>
        <w:numId w:val="4"/>
      </w:numPr>
    </w:pPr>
  </w:style>
  <w:style w:type="numbering" w:customStyle="1" w:styleId="Contractnumbering">
    <w:name w:val="Contract numbering"/>
    <w:uiPriority w:val="99"/>
    <w:rsid w:val="008E3310"/>
    <w:pPr>
      <w:numPr>
        <w:numId w:val="9"/>
      </w:numPr>
    </w:pPr>
  </w:style>
  <w:style w:type="character" w:styleId="Hyperlink">
    <w:name w:val="Hyperlink"/>
    <w:unhideWhenUsed/>
    <w:rsid w:val="00B71B0E"/>
    <w:rPr>
      <w:color w:val="0000FF"/>
      <w:u w:val="single"/>
    </w:rPr>
  </w:style>
  <w:style w:type="paragraph" w:styleId="NormalWeb">
    <w:name w:val="Normal (Web)"/>
    <w:basedOn w:val="Normal"/>
    <w:semiHidden/>
    <w:unhideWhenUsed/>
    <w:rsid w:val="00B71B0E"/>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B71B0E"/>
    <w:rPr>
      <w:rFonts w:ascii="Tahoma" w:hAnsi="Tahoma" w:cs="Tahoma"/>
      <w:sz w:val="16"/>
      <w:szCs w:val="16"/>
    </w:rPr>
  </w:style>
  <w:style w:type="character" w:customStyle="1" w:styleId="BalloonTextChar">
    <w:name w:val="Balloon Text Char"/>
    <w:basedOn w:val="DefaultParagraphFont"/>
    <w:link w:val="BalloonText"/>
    <w:uiPriority w:val="99"/>
    <w:semiHidden/>
    <w:rsid w:val="00B71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CPublicHealthDepartment" TargetMode="External"/><Relationship Id="rId3" Type="http://schemas.openxmlformats.org/officeDocument/2006/relationships/settings" Target="settings.xml"/><Relationship Id="rId7" Type="http://schemas.openxmlformats.org/officeDocument/2006/relationships/hyperlink" Target="http://www.cdc.gov/food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odsafety.gov/food-safety-charts/safe-minimum-cooking-temperatur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Calhoun County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McDermott</dc:creator>
  <cp:lastModifiedBy>Jodie Shaver</cp:lastModifiedBy>
  <cp:revision>2</cp:revision>
  <cp:lastPrinted>2019-10-16T16:25:00Z</cp:lastPrinted>
  <dcterms:created xsi:type="dcterms:W3CDTF">2019-11-05T19:41:00Z</dcterms:created>
  <dcterms:modified xsi:type="dcterms:W3CDTF">2019-11-05T19:41:00Z</dcterms:modified>
</cp:coreProperties>
</file>